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E687" w14:textId="4AC9BE42" w:rsidR="006D70EF" w:rsidRPr="00C34330" w:rsidRDefault="00F17ED3">
      <w:pPr>
        <w:pStyle w:val="Heading1"/>
        <w:spacing w:before="41"/>
        <w:ind w:left="1972"/>
        <w:rPr>
          <w:rFonts w:ascii="Aptos" w:hAnsi="Aptos" w:cstheme="minorHAnsi"/>
          <w:sz w:val="28"/>
          <w:szCs w:val="28"/>
        </w:rPr>
      </w:pPr>
      <w:r w:rsidRPr="00C34330">
        <w:rPr>
          <w:rFonts w:ascii="Aptos" w:hAnsi="Aptos" w:cstheme="minorHAnsi"/>
          <w:sz w:val="28"/>
          <w:szCs w:val="28"/>
        </w:rPr>
        <w:t>Category Manager</w:t>
      </w:r>
      <w:r w:rsidR="000A22FA" w:rsidRPr="00C34330">
        <w:rPr>
          <w:rFonts w:ascii="Aptos" w:hAnsi="Aptos" w:cstheme="minorHAnsi"/>
          <w:sz w:val="28"/>
          <w:szCs w:val="28"/>
        </w:rPr>
        <w:t>-</w:t>
      </w:r>
      <w:r w:rsidRPr="00C34330">
        <w:rPr>
          <w:rFonts w:ascii="Aptos" w:hAnsi="Aptos" w:cstheme="minorHAnsi"/>
          <w:sz w:val="28"/>
          <w:szCs w:val="28"/>
        </w:rPr>
        <w:t xml:space="preserve"> </w:t>
      </w:r>
      <w:r w:rsidR="00165942" w:rsidRPr="00C34330">
        <w:rPr>
          <w:rFonts w:ascii="Aptos" w:hAnsi="Aptos" w:cstheme="minorHAnsi"/>
          <w:sz w:val="28"/>
          <w:szCs w:val="28"/>
        </w:rPr>
        <w:t>North Northamptonshire</w:t>
      </w:r>
      <w:r w:rsidR="000A22FA" w:rsidRPr="00C34330">
        <w:rPr>
          <w:rFonts w:ascii="Aptos" w:hAnsi="Aptos" w:cstheme="minorHAnsi"/>
          <w:sz w:val="28"/>
          <w:szCs w:val="28"/>
        </w:rPr>
        <w:t xml:space="preserve"> Council</w:t>
      </w:r>
    </w:p>
    <w:p w14:paraId="5E74B3BD" w14:textId="77777777" w:rsidR="00165942" w:rsidRPr="00C34330" w:rsidRDefault="00165942">
      <w:pPr>
        <w:pStyle w:val="Heading1"/>
        <w:spacing w:before="41"/>
        <w:ind w:left="1972"/>
        <w:rPr>
          <w:rFonts w:ascii="Aptos" w:hAnsi="Aptos" w:cstheme="minorHAnsi"/>
        </w:rPr>
      </w:pPr>
    </w:p>
    <w:p w14:paraId="7C7BDCF5" w14:textId="77777777" w:rsidR="006D70EF" w:rsidRPr="00C34330" w:rsidRDefault="006D70EF">
      <w:pPr>
        <w:pStyle w:val="BodyText"/>
        <w:rPr>
          <w:rFonts w:ascii="Aptos" w:hAnsi="Aptos" w:cstheme="minorHAnsi"/>
        </w:rPr>
      </w:pPr>
    </w:p>
    <w:p w14:paraId="36D893D9" w14:textId="77777777" w:rsidR="006D70EF" w:rsidRPr="00C34330" w:rsidRDefault="006D70EF">
      <w:pPr>
        <w:pStyle w:val="BodyText"/>
        <w:spacing w:before="2"/>
        <w:rPr>
          <w:rFonts w:ascii="Aptos" w:hAnsi="Aptos" w:cstheme="minorHAnsi"/>
        </w:rPr>
      </w:pPr>
    </w:p>
    <w:p w14:paraId="54C50DBC" w14:textId="77777777" w:rsidR="006D70EF" w:rsidRPr="00C34330" w:rsidRDefault="00F17ED3">
      <w:pPr>
        <w:spacing w:before="41"/>
        <w:ind w:left="503"/>
        <w:rPr>
          <w:rFonts w:ascii="Aptos" w:hAnsi="Aptos" w:cstheme="minorHAnsi"/>
          <w:b/>
          <w:sz w:val="24"/>
          <w:szCs w:val="24"/>
        </w:rPr>
      </w:pPr>
      <w:r w:rsidRPr="00C34330">
        <w:rPr>
          <w:rFonts w:ascii="Aptos" w:hAnsi="Aptos" w:cstheme="minorHAnsi"/>
          <w:b/>
          <w:sz w:val="24"/>
          <w:szCs w:val="24"/>
        </w:rPr>
        <w:t>EDUCATION, KNOWLEDGE, EXPERIENCE AND SKILLS</w:t>
      </w:r>
    </w:p>
    <w:p w14:paraId="26ACD58B" w14:textId="77777777" w:rsidR="006D70EF" w:rsidRPr="00C34330" w:rsidRDefault="006D70EF">
      <w:pPr>
        <w:pStyle w:val="BodyText"/>
        <w:spacing w:before="10"/>
        <w:rPr>
          <w:rFonts w:ascii="Aptos" w:hAnsi="Aptos" w:cstheme="minorHAnsi"/>
          <w:b/>
        </w:rPr>
      </w:pPr>
    </w:p>
    <w:p w14:paraId="00AD8261" w14:textId="77777777" w:rsidR="00C34330" w:rsidRDefault="00C34330" w:rsidP="00C34330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00C34330">
        <w:rPr>
          <w:rFonts w:ascii="Aptos" w:hAnsi="Aptos"/>
          <w:sz w:val="24"/>
          <w:szCs w:val="24"/>
        </w:rPr>
        <w:t>Degree and/or working toward/holding MCIPS.</w:t>
      </w:r>
    </w:p>
    <w:p w14:paraId="7C4C3FA7" w14:textId="7DF0244C" w:rsidR="00C34330" w:rsidRDefault="00C34330" w:rsidP="00C34330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00C34330">
        <w:rPr>
          <w:rFonts w:ascii="Aptos" w:hAnsi="Aptos"/>
          <w:sz w:val="24"/>
          <w:szCs w:val="24"/>
        </w:rPr>
        <w:t>Extensive specialist knowledge of procurement, including ICT, corporate and commercial categories.</w:t>
      </w:r>
    </w:p>
    <w:p w14:paraId="207481C6" w14:textId="3961BC49" w:rsidR="00C34330" w:rsidRPr="00C34330" w:rsidRDefault="00C34330" w:rsidP="00C34330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Public Sector Experience</w:t>
      </w:r>
    </w:p>
    <w:p w14:paraId="14DAFBEA" w14:textId="77777777" w:rsidR="006D70EF" w:rsidRPr="00C34330" w:rsidRDefault="006D70EF">
      <w:pPr>
        <w:pStyle w:val="BodyText"/>
        <w:spacing w:before="11"/>
        <w:rPr>
          <w:rFonts w:ascii="Aptos" w:hAnsi="Aptos" w:cstheme="minorHAnsi"/>
        </w:rPr>
      </w:pPr>
    </w:p>
    <w:p w14:paraId="2FFEFA9A" w14:textId="77777777" w:rsidR="006D70EF" w:rsidRPr="00C34330" w:rsidRDefault="00F17ED3">
      <w:pPr>
        <w:pStyle w:val="Heading1"/>
        <w:rPr>
          <w:rFonts w:ascii="Aptos" w:hAnsi="Aptos" w:cstheme="minorHAnsi"/>
        </w:rPr>
      </w:pPr>
      <w:r w:rsidRPr="00C34330">
        <w:rPr>
          <w:rFonts w:ascii="Aptos" w:hAnsi="Aptos" w:cstheme="minorHAnsi"/>
        </w:rPr>
        <w:t>Knowledge and Skills</w:t>
      </w: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  <w:gridCol w:w="6406"/>
      </w:tblGrid>
      <w:tr w:rsidR="006D70EF" w:rsidRPr="00C34330" w14:paraId="2CE6A049" w14:textId="77777777">
        <w:trPr>
          <w:trHeight w:val="314"/>
        </w:trPr>
        <w:tc>
          <w:tcPr>
            <w:tcW w:w="3339" w:type="dxa"/>
            <w:tcBorders>
              <w:bottom w:val="nil"/>
              <w:right w:val="nil"/>
            </w:tcBorders>
            <w:shd w:val="clear" w:color="auto" w:fill="C0C0C0"/>
          </w:tcPr>
          <w:p w14:paraId="63E0C16E" w14:textId="77777777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Area</w:t>
            </w:r>
          </w:p>
        </w:tc>
        <w:tc>
          <w:tcPr>
            <w:tcW w:w="6406" w:type="dxa"/>
            <w:tcBorders>
              <w:left w:val="nil"/>
              <w:bottom w:val="nil"/>
            </w:tcBorders>
            <w:shd w:val="clear" w:color="auto" w:fill="C0C0C0"/>
          </w:tcPr>
          <w:p w14:paraId="406990D9" w14:textId="77777777" w:rsidR="006D70EF" w:rsidRPr="00C34330" w:rsidRDefault="006D70EF">
            <w:pPr>
              <w:pStyle w:val="TableParagraph"/>
              <w:ind w:left="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D70EF" w:rsidRPr="00C34330" w14:paraId="7DACDE06" w14:textId="77777777">
        <w:trPr>
          <w:trHeight w:val="270"/>
        </w:trPr>
        <w:tc>
          <w:tcPr>
            <w:tcW w:w="3339" w:type="dxa"/>
            <w:tcBorders>
              <w:top w:val="nil"/>
              <w:right w:val="nil"/>
            </w:tcBorders>
            <w:shd w:val="clear" w:color="auto" w:fill="C0C0C0"/>
          </w:tcPr>
          <w:p w14:paraId="269FE6FD" w14:textId="77777777" w:rsidR="006D70EF" w:rsidRPr="00C34330" w:rsidRDefault="006D70EF">
            <w:pPr>
              <w:pStyle w:val="TableParagraph"/>
              <w:ind w:left="0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left w:val="nil"/>
            </w:tcBorders>
            <w:shd w:val="clear" w:color="auto" w:fill="C0C0C0"/>
          </w:tcPr>
          <w:p w14:paraId="5F6D42E9" w14:textId="77777777" w:rsidR="006D70EF" w:rsidRPr="00C34330" w:rsidRDefault="00F17ED3">
            <w:pPr>
              <w:pStyle w:val="TableParagraph"/>
              <w:spacing w:line="251" w:lineRule="exact"/>
              <w:ind w:left="112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(Description)</w:t>
            </w:r>
          </w:p>
        </w:tc>
      </w:tr>
      <w:tr w:rsidR="006D70EF" w:rsidRPr="00C34330" w14:paraId="3D4B2E1E" w14:textId="77777777">
        <w:trPr>
          <w:trHeight w:val="1173"/>
        </w:trPr>
        <w:tc>
          <w:tcPr>
            <w:tcW w:w="3339" w:type="dxa"/>
          </w:tcPr>
          <w:p w14:paraId="6BCE9645" w14:textId="77777777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Commercial Acumen</w:t>
            </w:r>
          </w:p>
        </w:tc>
        <w:tc>
          <w:tcPr>
            <w:tcW w:w="6406" w:type="dxa"/>
          </w:tcPr>
          <w:p w14:paraId="7C149954" w14:textId="2F65CB00" w:rsidR="006D70EF" w:rsidRPr="00C34330" w:rsidRDefault="008755F4">
            <w:pPr>
              <w:pStyle w:val="TableParagraph"/>
              <w:spacing w:line="276" w:lineRule="exact"/>
              <w:jc w:val="both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Strong commercial awareness of ICT, corporate and commercial markets, cost drivers, risk factors and commercial </w:t>
            </w:r>
            <w:r w:rsidR="00F4089D">
              <w:t>strategy.</w:t>
            </w:r>
          </w:p>
        </w:tc>
      </w:tr>
      <w:tr w:rsidR="006D70EF" w:rsidRPr="00C34330" w14:paraId="53B14400" w14:textId="77777777">
        <w:trPr>
          <w:trHeight w:val="1170"/>
        </w:trPr>
        <w:tc>
          <w:tcPr>
            <w:tcW w:w="3339" w:type="dxa"/>
          </w:tcPr>
          <w:p w14:paraId="0834FF75" w14:textId="77777777" w:rsidR="006D70EF" w:rsidRPr="00C34330" w:rsidRDefault="00F17ED3">
            <w:pPr>
              <w:pStyle w:val="TableParagraph"/>
              <w:ind w:right="961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Category Management techniques</w:t>
            </w:r>
          </w:p>
        </w:tc>
        <w:tc>
          <w:tcPr>
            <w:tcW w:w="6406" w:type="dxa"/>
          </w:tcPr>
          <w:p w14:paraId="43454693" w14:textId="428C5DD8" w:rsidR="006D70EF" w:rsidRPr="00C34330" w:rsidRDefault="003320A6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Proven experience leading ICT and corporate category strategies, applying end‑to‑end category management in a complex </w:t>
            </w:r>
            <w:r>
              <w:t>O</w:t>
            </w:r>
            <w:r>
              <w:t>rganisation.</w:t>
            </w:r>
          </w:p>
        </w:tc>
      </w:tr>
      <w:tr w:rsidR="006D70EF" w:rsidRPr="00C34330" w14:paraId="3F79C0F7" w14:textId="77777777">
        <w:trPr>
          <w:trHeight w:val="585"/>
        </w:trPr>
        <w:tc>
          <w:tcPr>
            <w:tcW w:w="3339" w:type="dxa"/>
          </w:tcPr>
          <w:p w14:paraId="528AA298" w14:textId="77777777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Procurement Legislation</w:t>
            </w:r>
          </w:p>
        </w:tc>
        <w:tc>
          <w:tcPr>
            <w:tcW w:w="6406" w:type="dxa"/>
          </w:tcPr>
          <w:p w14:paraId="0CCF638F" w14:textId="77777777" w:rsidR="006D70EF" w:rsidRDefault="00E055AB">
            <w:pPr>
              <w:pStyle w:val="TableParagraph"/>
              <w:spacing w:line="273" w:lineRule="exact"/>
            </w:pPr>
            <w:r>
              <w:t xml:space="preserve">Expert knowledge of </w:t>
            </w:r>
            <w:r>
              <w:t>Procurement Legislation,</w:t>
            </w:r>
            <w:r>
              <w:t xml:space="preserve"> subsidy control, data protection implications and contract law.</w:t>
            </w:r>
          </w:p>
          <w:p w14:paraId="47EF3965" w14:textId="161E63DE" w:rsidR="00401EFF" w:rsidRPr="00C34330" w:rsidRDefault="00401EFF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6D70EF" w:rsidRPr="00C34330" w14:paraId="738944BD" w14:textId="77777777">
        <w:trPr>
          <w:trHeight w:val="1173"/>
        </w:trPr>
        <w:tc>
          <w:tcPr>
            <w:tcW w:w="3339" w:type="dxa"/>
          </w:tcPr>
          <w:p w14:paraId="3CECA570" w14:textId="77777777" w:rsidR="006D70EF" w:rsidRPr="00C34330" w:rsidRDefault="00F17ED3">
            <w:pPr>
              <w:pStyle w:val="TableParagraph"/>
              <w:spacing w:line="242" w:lineRule="auto"/>
              <w:ind w:right="1136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Supplier Relationship Management</w:t>
            </w:r>
          </w:p>
        </w:tc>
        <w:tc>
          <w:tcPr>
            <w:tcW w:w="6406" w:type="dxa"/>
          </w:tcPr>
          <w:p w14:paraId="00C07D08" w14:textId="0B42568E" w:rsidR="006D70EF" w:rsidRPr="00C34330" w:rsidRDefault="00401EFF">
            <w:pPr>
              <w:pStyle w:val="TableParagraph"/>
              <w:spacing w:before="1"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>Experience managing ICT and corporate suppliers, supply‑chain risk, performance and development</w:t>
            </w:r>
          </w:p>
        </w:tc>
      </w:tr>
      <w:tr w:rsidR="006D70EF" w:rsidRPr="00C34330" w14:paraId="28C5A858" w14:textId="77777777">
        <w:trPr>
          <w:trHeight w:val="1463"/>
        </w:trPr>
        <w:tc>
          <w:tcPr>
            <w:tcW w:w="3339" w:type="dxa"/>
          </w:tcPr>
          <w:p w14:paraId="741F06A3" w14:textId="77777777" w:rsidR="006D70EF" w:rsidRPr="00C34330" w:rsidRDefault="00F17ED3">
            <w:pPr>
              <w:pStyle w:val="TableParagraph"/>
              <w:ind w:right="645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Procurement Systems and Processes</w:t>
            </w:r>
          </w:p>
        </w:tc>
        <w:tc>
          <w:tcPr>
            <w:tcW w:w="6406" w:type="dxa"/>
          </w:tcPr>
          <w:p w14:paraId="110C87E2" w14:textId="02373F6F" w:rsidR="006D70EF" w:rsidRPr="00C34330" w:rsidRDefault="00F10547">
            <w:pPr>
              <w:pStyle w:val="TableParagraph"/>
              <w:spacing w:line="290" w:lineRule="atLeast"/>
              <w:ind w:right="1459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Advanced understanding </w:t>
            </w:r>
            <w:r w:rsidR="00F4089D">
              <w:t>of e-</w:t>
            </w:r>
            <w:r>
              <w:t>tendering systems, procurement analytics and digital procurement tools.</w:t>
            </w:r>
          </w:p>
        </w:tc>
      </w:tr>
      <w:tr w:rsidR="006D70EF" w:rsidRPr="00C34330" w14:paraId="38CCC476" w14:textId="77777777">
        <w:trPr>
          <w:trHeight w:val="1172"/>
        </w:trPr>
        <w:tc>
          <w:tcPr>
            <w:tcW w:w="3339" w:type="dxa"/>
          </w:tcPr>
          <w:p w14:paraId="41D7F722" w14:textId="77777777" w:rsidR="006D70EF" w:rsidRPr="00C34330" w:rsidRDefault="00F17ED3">
            <w:pPr>
              <w:pStyle w:val="TableParagraph"/>
              <w:spacing w:line="291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Leadership</w:t>
            </w:r>
          </w:p>
        </w:tc>
        <w:tc>
          <w:tcPr>
            <w:tcW w:w="6406" w:type="dxa"/>
          </w:tcPr>
          <w:p w14:paraId="08261A54" w14:textId="58071A21" w:rsidR="006D70EF" w:rsidRPr="00C34330" w:rsidRDefault="002A24A1">
            <w:pPr>
              <w:pStyle w:val="TableParagraph"/>
              <w:spacing w:line="273" w:lineRule="exact"/>
              <w:jc w:val="both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Ability to lead, influence and support multi‑disciplinary </w:t>
            </w:r>
            <w:r w:rsidR="00F4089D">
              <w:t>teams</w:t>
            </w:r>
            <w:r>
              <w:t xml:space="preserve"> promotes collaboration and continuous improvement.</w:t>
            </w:r>
          </w:p>
        </w:tc>
      </w:tr>
      <w:tr w:rsidR="006D70EF" w:rsidRPr="00C34330" w14:paraId="1ADC0BD7" w14:textId="77777777">
        <w:trPr>
          <w:trHeight w:val="878"/>
        </w:trPr>
        <w:tc>
          <w:tcPr>
            <w:tcW w:w="3339" w:type="dxa"/>
          </w:tcPr>
          <w:p w14:paraId="2299A255" w14:textId="683168D3" w:rsidR="006D70EF" w:rsidRPr="00C34330" w:rsidRDefault="00290384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Commercial Innovation</w:t>
            </w:r>
          </w:p>
        </w:tc>
        <w:tc>
          <w:tcPr>
            <w:tcW w:w="6406" w:type="dxa"/>
          </w:tcPr>
          <w:p w14:paraId="3414BE7A" w14:textId="1F72192E" w:rsidR="006D70EF" w:rsidRPr="00C34330" w:rsidRDefault="00290384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>Ability to identify commercial opportunities, assess risks and deliver innovative commercial outcomes</w:t>
            </w:r>
          </w:p>
        </w:tc>
      </w:tr>
      <w:tr w:rsidR="006D70EF" w:rsidRPr="00C34330" w14:paraId="4A5B95B1" w14:textId="77777777">
        <w:trPr>
          <w:trHeight w:val="1466"/>
        </w:trPr>
        <w:tc>
          <w:tcPr>
            <w:tcW w:w="3339" w:type="dxa"/>
          </w:tcPr>
          <w:p w14:paraId="06BEEF75" w14:textId="728F6300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 xml:space="preserve">Negotiation </w:t>
            </w:r>
          </w:p>
        </w:tc>
        <w:tc>
          <w:tcPr>
            <w:tcW w:w="6406" w:type="dxa"/>
          </w:tcPr>
          <w:p w14:paraId="02F69FC2" w14:textId="47E6127D" w:rsidR="006D70EF" w:rsidRPr="00C34330" w:rsidRDefault="008F36BB">
            <w:pPr>
              <w:pStyle w:val="TableParagraph"/>
              <w:spacing w:before="1"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>S</w:t>
            </w:r>
            <w:r>
              <w:t>trong negotiation ability ensuring optimal commercial outcomes while maintaining supplier relationships.</w:t>
            </w:r>
          </w:p>
        </w:tc>
      </w:tr>
      <w:tr w:rsidR="006D70EF" w:rsidRPr="00C34330" w14:paraId="7EF46B1B" w14:textId="77777777">
        <w:trPr>
          <w:trHeight w:val="1463"/>
        </w:trPr>
        <w:tc>
          <w:tcPr>
            <w:tcW w:w="3339" w:type="dxa"/>
          </w:tcPr>
          <w:p w14:paraId="368A7455" w14:textId="64685B92" w:rsidR="006D70EF" w:rsidRPr="00C34330" w:rsidRDefault="00F17ED3">
            <w:pPr>
              <w:pStyle w:val="TableParagraph"/>
              <w:ind w:right="120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lastRenderedPageBreak/>
              <w:t>Influencing and communication</w:t>
            </w:r>
          </w:p>
        </w:tc>
        <w:tc>
          <w:tcPr>
            <w:tcW w:w="6406" w:type="dxa"/>
          </w:tcPr>
          <w:p w14:paraId="46E94B23" w14:textId="56206479" w:rsidR="006D70EF" w:rsidRPr="00C34330" w:rsidRDefault="00F10C2A">
            <w:pPr>
              <w:pStyle w:val="TableParagraph"/>
              <w:spacing w:before="1" w:line="290" w:lineRule="atLeast"/>
              <w:ind w:right="1053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Able to communicate complex issues clearly and influence senior stakeholders across ICT and corporate </w:t>
            </w:r>
            <w:r w:rsidR="00F4089D">
              <w:t>areas.</w:t>
            </w:r>
          </w:p>
        </w:tc>
      </w:tr>
      <w:tr w:rsidR="006D70EF" w:rsidRPr="00C34330" w14:paraId="4E0BFFE7" w14:textId="77777777" w:rsidTr="00A92343">
        <w:trPr>
          <w:trHeight w:val="878"/>
        </w:trPr>
        <w:tc>
          <w:tcPr>
            <w:tcW w:w="3339" w:type="dxa"/>
          </w:tcPr>
          <w:p w14:paraId="01BDF282" w14:textId="77777777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Problem solving</w:t>
            </w:r>
          </w:p>
        </w:tc>
        <w:tc>
          <w:tcPr>
            <w:tcW w:w="6406" w:type="dxa"/>
          </w:tcPr>
          <w:p w14:paraId="6434862B" w14:textId="5A05111E" w:rsidR="006D70EF" w:rsidRPr="00C34330" w:rsidRDefault="001C3F1C">
            <w:pPr>
              <w:pStyle w:val="TableParagraph"/>
              <w:spacing w:line="290" w:lineRule="atLeast"/>
              <w:ind w:right="139"/>
              <w:rPr>
                <w:rFonts w:ascii="Aptos" w:hAnsi="Aptos" w:cstheme="minorHAnsi"/>
                <w:sz w:val="24"/>
                <w:szCs w:val="24"/>
              </w:rPr>
            </w:pPr>
            <w:r>
              <w:t>Ability to resolve conflicting priorities, ensuring continuity of supply and value for money.</w:t>
            </w:r>
          </w:p>
        </w:tc>
      </w:tr>
      <w:tr w:rsidR="006D70EF" w:rsidRPr="00C34330" w14:paraId="4038C904" w14:textId="77777777" w:rsidTr="00EC6618">
        <w:trPr>
          <w:trHeight w:val="924"/>
        </w:trPr>
        <w:tc>
          <w:tcPr>
            <w:tcW w:w="3339" w:type="dxa"/>
          </w:tcPr>
          <w:p w14:paraId="3D652A6B" w14:textId="6EEE75CD" w:rsidR="006D70EF" w:rsidRPr="00C34330" w:rsidRDefault="001C3F1C">
            <w:pPr>
              <w:pStyle w:val="TableParagraph"/>
              <w:spacing w:before="1"/>
              <w:ind w:right="767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Stakeholder Management</w:t>
            </w:r>
          </w:p>
        </w:tc>
        <w:tc>
          <w:tcPr>
            <w:tcW w:w="6406" w:type="dxa"/>
          </w:tcPr>
          <w:p w14:paraId="5D41CBEA" w14:textId="495910C2" w:rsidR="006D70EF" w:rsidRPr="00C34330" w:rsidRDefault="00EC6618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>Builds strong relationships across ICT, corporate and commercial functions and external partners.</w:t>
            </w:r>
          </w:p>
        </w:tc>
      </w:tr>
      <w:tr w:rsidR="006D70EF" w:rsidRPr="00C34330" w14:paraId="1FEB415D" w14:textId="77777777" w:rsidTr="00A92343">
        <w:trPr>
          <w:trHeight w:val="878"/>
        </w:trPr>
        <w:tc>
          <w:tcPr>
            <w:tcW w:w="3339" w:type="dxa"/>
          </w:tcPr>
          <w:p w14:paraId="5D8485B4" w14:textId="77777777" w:rsidR="006D70EF" w:rsidRPr="00C34330" w:rsidRDefault="00F17ED3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Project Management</w:t>
            </w:r>
          </w:p>
        </w:tc>
        <w:tc>
          <w:tcPr>
            <w:tcW w:w="6406" w:type="dxa"/>
          </w:tcPr>
          <w:p w14:paraId="61D76930" w14:textId="33BA793D" w:rsidR="006D70EF" w:rsidRPr="00C34330" w:rsidRDefault="002D7A8F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 xml:space="preserve">Plans and </w:t>
            </w:r>
            <w:r w:rsidR="00F4089D">
              <w:t>deliver</w:t>
            </w:r>
            <w:r>
              <w:t xml:space="preserve"> procurement projects with clear milestones, governance and deadlines.</w:t>
            </w:r>
          </w:p>
        </w:tc>
      </w:tr>
      <w:tr w:rsidR="00D03879" w:rsidRPr="00C34330" w14:paraId="41F91338" w14:textId="77777777" w:rsidTr="00A92343">
        <w:trPr>
          <w:trHeight w:val="1173"/>
        </w:trPr>
        <w:tc>
          <w:tcPr>
            <w:tcW w:w="3339" w:type="dxa"/>
          </w:tcPr>
          <w:p w14:paraId="1F3747FB" w14:textId="77777777" w:rsidR="00D03879" w:rsidRPr="00C34330" w:rsidRDefault="00D03879" w:rsidP="00D03879">
            <w:pPr>
              <w:pStyle w:val="TableParagraph"/>
              <w:spacing w:before="1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Analysis</w:t>
            </w:r>
          </w:p>
        </w:tc>
        <w:tc>
          <w:tcPr>
            <w:tcW w:w="6406" w:type="dxa"/>
          </w:tcPr>
          <w:p w14:paraId="26D12EB1" w14:textId="15322850" w:rsidR="00D03879" w:rsidRPr="00C34330" w:rsidRDefault="00D03879" w:rsidP="00D03879">
            <w:pPr>
              <w:pStyle w:val="TableParagraph"/>
              <w:spacing w:before="1" w:line="290" w:lineRule="atLeast"/>
              <w:ind w:right="184"/>
              <w:rPr>
                <w:rFonts w:ascii="Aptos" w:hAnsi="Aptos" w:cstheme="minorHAnsi"/>
                <w:sz w:val="24"/>
                <w:szCs w:val="24"/>
              </w:rPr>
            </w:pPr>
            <w:r>
              <w:t>Strong analytical skills using data, spend analysis and market intelligence to inform decisions.</w:t>
            </w:r>
          </w:p>
        </w:tc>
      </w:tr>
      <w:tr w:rsidR="00D03879" w:rsidRPr="00C34330" w14:paraId="7AD7E23D" w14:textId="77777777" w:rsidTr="00A92343">
        <w:trPr>
          <w:trHeight w:val="877"/>
        </w:trPr>
        <w:tc>
          <w:tcPr>
            <w:tcW w:w="3339" w:type="dxa"/>
          </w:tcPr>
          <w:p w14:paraId="25EDC8E3" w14:textId="572447FF" w:rsidR="00D03879" w:rsidRPr="00C34330" w:rsidRDefault="00D03879" w:rsidP="00D03879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 xml:space="preserve">Policies </w:t>
            </w:r>
          </w:p>
        </w:tc>
        <w:tc>
          <w:tcPr>
            <w:tcW w:w="6406" w:type="dxa"/>
          </w:tcPr>
          <w:p w14:paraId="2E407BBE" w14:textId="4041535D" w:rsidR="00D03879" w:rsidRPr="00C34330" w:rsidRDefault="00D03879" w:rsidP="00D03879">
            <w:pPr>
              <w:pStyle w:val="TableParagraph"/>
              <w:rPr>
                <w:rFonts w:ascii="Aptos" w:hAnsi="Aptos" w:cstheme="minorHAnsi"/>
                <w:sz w:val="24"/>
                <w:szCs w:val="24"/>
              </w:rPr>
            </w:pPr>
            <w:r>
              <w:t>Able to create, update and maintain procurement policies, templates and guidance, ensuring compliance.</w:t>
            </w:r>
          </w:p>
        </w:tc>
      </w:tr>
      <w:tr w:rsidR="00D03879" w:rsidRPr="00C34330" w14:paraId="68970EC5" w14:textId="77777777" w:rsidTr="00A92343">
        <w:trPr>
          <w:trHeight w:val="877"/>
        </w:trPr>
        <w:tc>
          <w:tcPr>
            <w:tcW w:w="3339" w:type="dxa"/>
          </w:tcPr>
          <w:p w14:paraId="0B6319CC" w14:textId="77777777" w:rsidR="00D03879" w:rsidRPr="00C34330" w:rsidRDefault="00D03879" w:rsidP="00D03879">
            <w:pPr>
              <w:pStyle w:val="TableParagraph"/>
              <w:spacing w:line="292" w:lineRule="exact"/>
              <w:rPr>
                <w:rFonts w:ascii="Aptos" w:hAnsi="Aptos" w:cstheme="minorHAnsi"/>
                <w:sz w:val="24"/>
                <w:szCs w:val="24"/>
              </w:rPr>
            </w:pPr>
            <w:r w:rsidRPr="00C34330">
              <w:rPr>
                <w:rFonts w:ascii="Aptos" w:hAnsi="Aptos" w:cstheme="minorHAnsi"/>
                <w:sz w:val="24"/>
                <w:szCs w:val="24"/>
              </w:rPr>
              <w:t>Political Awareness</w:t>
            </w:r>
          </w:p>
        </w:tc>
        <w:tc>
          <w:tcPr>
            <w:tcW w:w="6406" w:type="dxa"/>
          </w:tcPr>
          <w:p w14:paraId="28629266" w14:textId="2527E982" w:rsidR="00D03879" w:rsidRPr="00C34330" w:rsidRDefault="00D03879" w:rsidP="00D03879">
            <w:pPr>
              <w:pStyle w:val="TableParagraph"/>
              <w:spacing w:line="273" w:lineRule="exact"/>
              <w:rPr>
                <w:rFonts w:ascii="Aptos" w:hAnsi="Aptos" w:cstheme="minorHAnsi"/>
                <w:sz w:val="24"/>
                <w:szCs w:val="24"/>
              </w:rPr>
            </w:pPr>
            <w:r>
              <w:t>Understands political context and its impact on procurement and organisational priorities.</w:t>
            </w:r>
          </w:p>
        </w:tc>
      </w:tr>
    </w:tbl>
    <w:p w14:paraId="061E92DB" w14:textId="77777777" w:rsidR="00F17ED3" w:rsidRPr="00C34330" w:rsidRDefault="00F17ED3">
      <w:pPr>
        <w:rPr>
          <w:rFonts w:ascii="Aptos" w:hAnsi="Aptos" w:cstheme="minorHAnsi"/>
          <w:sz w:val="24"/>
          <w:szCs w:val="24"/>
        </w:rPr>
      </w:pPr>
    </w:p>
    <w:sectPr w:rsidR="00F17ED3" w:rsidRPr="00C34330">
      <w:headerReference w:type="default" r:id="rId7"/>
      <w:pgSz w:w="11910" w:h="16840"/>
      <w:pgMar w:top="1420" w:right="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2EAD" w14:textId="77777777" w:rsidR="002E328C" w:rsidRDefault="002E328C" w:rsidP="002E328C">
      <w:r>
        <w:separator/>
      </w:r>
    </w:p>
  </w:endnote>
  <w:endnote w:type="continuationSeparator" w:id="0">
    <w:p w14:paraId="329E483D" w14:textId="77777777" w:rsidR="002E328C" w:rsidRDefault="002E328C" w:rsidP="002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BC25" w14:textId="77777777" w:rsidR="002E328C" w:rsidRDefault="002E328C" w:rsidP="002E328C">
      <w:r>
        <w:separator/>
      </w:r>
    </w:p>
  </w:footnote>
  <w:footnote w:type="continuationSeparator" w:id="0">
    <w:p w14:paraId="06BC8E6B" w14:textId="77777777" w:rsidR="002E328C" w:rsidRDefault="002E328C" w:rsidP="002E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404F" w14:textId="73465CA5" w:rsidR="002E328C" w:rsidRDefault="002E328C">
    <w:pPr>
      <w:pStyle w:val="Header"/>
    </w:pPr>
    <w:r>
      <w:rPr>
        <w:noProof/>
      </w:rPr>
      <w:drawing>
        <wp:inline distT="0" distB="0" distL="0" distR="0" wp14:anchorId="6D5D2BD6" wp14:editId="2A67A15C">
          <wp:extent cx="48006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06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461"/>
    <w:multiLevelType w:val="hybridMultilevel"/>
    <w:tmpl w:val="A320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49BC2">
      <w:numFmt w:val="bullet"/>
      <w:lvlText w:val="•"/>
      <w:lvlJc w:val="left"/>
      <w:pPr>
        <w:ind w:left="1440" w:hanging="360"/>
      </w:pPr>
      <w:rPr>
        <w:rFonts w:ascii="Aptos" w:eastAsia="Carlito" w:hAnsi="Aptos" w:cs="Carlito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D629F"/>
    <w:multiLevelType w:val="hybridMultilevel"/>
    <w:tmpl w:val="6540B19A"/>
    <w:lvl w:ilvl="0" w:tplc="EFBA58F4">
      <w:numFmt w:val="bullet"/>
      <w:lvlText w:val=""/>
      <w:lvlJc w:val="left"/>
      <w:pPr>
        <w:ind w:left="472" w:hanging="360"/>
      </w:pPr>
      <w:rPr>
        <w:rFonts w:hint="default"/>
        <w:w w:val="100"/>
        <w:lang w:val="en-US" w:eastAsia="en-US" w:bidi="ar-SA"/>
      </w:rPr>
    </w:lvl>
    <w:lvl w:ilvl="1" w:tplc="FD3203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4EB2966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5D10A340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5426906E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4CDC18D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5EC4F72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7" w:tplc="52B665CE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404F9F8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num w:numId="1" w16cid:durableId="231939257">
    <w:abstractNumId w:val="1"/>
  </w:num>
  <w:num w:numId="2" w16cid:durableId="16584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F"/>
    <w:rsid w:val="000A22FA"/>
    <w:rsid w:val="00165942"/>
    <w:rsid w:val="00194FE4"/>
    <w:rsid w:val="001C3F1C"/>
    <w:rsid w:val="00290384"/>
    <w:rsid w:val="002A24A1"/>
    <w:rsid w:val="002D7A8F"/>
    <w:rsid w:val="002E328C"/>
    <w:rsid w:val="003320A6"/>
    <w:rsid w:val="003923A7"/>
    <w:rsid w:val="00401EFF"/>
    <w:rsid w:val="004E48D8"/>
    <w:rsid w:val="0057158B"/>
    <w:rsid w:val="0066568C"/>
    <w:rsid w:val="006A48DD"/>
    <w:rsid w:val="006D70EF"/>
    <w:rsid w:val="008751D5"/>
    <w:rsid w:val="008755F4"/>
    <w:rsid w:val="008E3308"/>
    <w:rsid w:val="008F36BB"/>
    <w:rsid w:val="009C7FD2"/>
    <w:rsid w:val="00A92343"/>
    <w:rsid w:val="00AF2510"/>
    <w:rsid w:val="00C34330"/>
    <w:rsid w:val="00C512E8"/>
    <w:rsid w:val="00CB074F"/>
    <w:rsid w:val="00D03879"/>
    <w:rsid w:val="00D2149C"/>
    <w:rsid w:val="00E055AB"/>
    <w:rsid w:val="00EC6618"/>
    <w:rsid w:val="00F10547"/>
    <w:rsid w:val="00F10C2A"/>
    <w:rsid w:val="00F17ED3"/>
    <w:rsid w:val="00F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1290"/>
  <w15:docId w15:val="{68AC4429-5CE2-4C80-AB42-963E1F1D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E3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28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2E3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28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1918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Northamptonshire County Council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PWHITE</dc:creator>
  <cp:lastModifiedBy>Jeandre Hunter</cp:lastModifiedBy>
  <cp:revision>21</cp:revision>
  <dcterms:created xsi:type="dcterms:W3CDTF">2026-02-23T15:19:00Z</dcterms:created>
  <dcterms:modified xsi:type="dcterms:W3CDTF">2026-02-23T15:29:00Z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2021-08-09T00:00:00Z</vt:filetime>
  </property>
  <property fmtid="{D5CDD505-2E9C-101B-9397-08002B2CF9AE}" pid="5" name="MSIP_Label_de6ec094-42b0-4a3f-84e1-779791d08481_Enabled">
    <vt:lpwstr>true</vt:lpwstr>
  </property>
  <property fmtid="{D5CDD505-2E9C-101B-9397-08002B2CF9AE}" pid="6" name="MSIP_Label_de6ec094-42b0-4a3f-84e1-779791d08481_SetDate">
    <vt:lpwstr>2026-01-28T17:09:20Z</vt:lpwstr>
  </property>
  <property fmtid="{D5CDD505-2E9C-101B-9397-08002B2CF9AE}" pid="7" name="MSIP_Label_de6ec094-42b0-4a3f-84e1-779791d08481_Method">
    <vt:lpwstr>Standard</vt:lpwstr>
  </property>
  <property fmtid="{D5CDD505-2E9C-101B-9397-08002B2CF9AE}" pid="8" name="MSIP_Label_de6ec094-42b0-4a3f-84e1-779791d08481_Name">
    <vt:lpwstr>OFFICAL - Public</vt:lpwstr>
  </property>
  <property fmtid="{D5CDD505-2E9C-101B-9397-08002B2CF9AE}" pid="9" name="MSIP_Label_de6ec094-42b0-4a3f-84e1-779791d08481_SiteId">
    <vt:lpwstr>e29c0ef9-9a07-4b02-b98b-7b2d8a78d737</vt:lpwstr>
  </property>
  <property fmtid="{D5CDD505-2E9C-101B-9397-08002B2CF9AE}" pid="10" name="MSIP_Label_de6ec094-42b0-4a3f-84e1-779791d08481_ActionId">
    <vt:lpwstr>c57be759-df5a-489c-b36c-2512f5da5deb</vt:lpwstr>
  </property>
  <property fmtid="{D5CDD505-2E9C-101B-9397-08002B2CF9AE}" pid="11" name="MSIP_Label_de6ec094-42b0-4a3f-84e1-779791d08481_ContentBits">
    <vt:lpwstr>0</vt:lpwstr>
  </property>
  <property fmtid="{D5CDD505-2E9C-101B-9397-08002B2CF9AE}" pid="12" name="MSIP_Label_de6ec094-42b0-4a3f-84e1-779791d08481_Tag">
    <vt:lpwstr>10, 3, 0, 1</vt:lpwstr>
  </property>
</Properties>
</file>