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6109AAAF" w:rsidR="000478C0" w:rsidRPr="00787881" w:rsidRDefault="000478C0" w:rsidP="00A94E74">
      <w:pPr>
        <w:spacing w:before="240"/>
      </w:pPr>
      <w:r w:rsidRPr="00787881">
        <w:t xml:space="preserve">Job </w:t>
      </w:r>
      <w:r w:rsidR="00641029" w:rsidRPr="00787881">
        <w:t>t</w:t>
      </w:r>
      <w:r w:rsidRPr="00787881">
        <w:t>itle:</w:t>
      </w:r>
      <w:r w:rsidR="00506502">
        <w:t xml:space="preserve"> </w:t>
      </w:r>
      <w:r w:rsidR="00082751">
        <w:t>Commissioning Manager</w:t>
      </w:r>
    </w:p>
    <w:p w14:paraId="36C8856A" w14:textId="46EDE8C8" w:rsidR="000478C0" w:rsidRPr="00787881" w:rsidRDefault="000478C0" w:rsidP="002A27DD">
      <w:pPr>
        <w:tabs>
          <w:tab w:val="center" w:pos="4535"/>
        </w:tabs>
      </w:pPr>
      <w:r w:rsidRPr="00787881">
        <w:t>Grade:</w:t>
      </w:r>
      <w:r w:rsidR="00506502">
        <w:t xml:space="preserve"> </w:t>
      </w:r>
      <w:r w:rsidR="00082751">
        <w:t>M</w:t>
      </w:r>
      <w:r w:rsidR="002A27DD">
        <w:tab/>
      </w:r>
    </w:p>
    <w:p w14:paraId="3D3641A2" w14:textId="335A3FFF" w:rsidR="000478C0" w:rsidRPr="00787881" w:rsidRDefault="000478C0" w:rsidP="000478C0">
      <w:r w:rsidRPr="00787881">
        <w:t>Reports to:</w:t>
      </w:r>
      <w:r w:rsidR="00676AA1">
        <w:t xml:space="preserve"> </w:t>
      </w:r>
      <w:r w:rsidR="00082751">
        <w:t>Assistant Director for Commissioning and Partnerships</w:t>
      </w:r>
      <w:r w:rsidR="00001FD2">
        <w:t>, Public Health and Children’s Services</w:t>
      </w:r>
    </w:p>
    <w:p w14:paraId="20D19DD5" w14:textId="77777777" w:rsidR="00001FD2" w:rsidRDefault="00C044FA" w:rsidP="000478C0">
      <w:r w:rsidRPr="00787881">
        <w:t>Responsible for:</w:t>
      </w:r>
      <w:r w:rsidR="006A7765">
        <w:t xml:space="preserve"> </w:t>
      </w:r>
      <w:r w:rsidR="00001FD2">
        <w:t>TBC</w:t>
      </w:r>
    </w:p>
    <w:p w14:paraId="535B3D4D" w14:textId="106E1D31"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6A7765">
        <w:t xml:space="preserve"> </w:t>
      </w:r>
      <w:r w:rsidR="00001FD2">
        <w:t>People Directorate, Public Health and Children’s Services, West</w:t>
      </w:r>
      <w:r w:rsidR="006A7765">
        <w:t xml:space="preserve"> Northamptonshire Council</w:t>
      </w:r>
    </w:p>
    <w:p w14:paraId="2177E4A2" w14:textId="30E17340"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540F3B63" w14:textId="67661656" w:rsidR="0036016B" w:rsidRDefault="0036016B" w:rsidP="0036016B"/>
    <w:p w14:paraId="5273C51F" w14:textId="398436A1" w:rsidR="0036016B" w:rsidRPr="0036016B" w:rsidRDefault="00F301A3" w:rsidP="0036016B">
      <w:r w:rsidRPr="00F301A3">
        <w:t xml:space="preserve">Reporting to the Assistant Director for Commissioning and Partnerships (Children’s Services) across West Northamptonshire, the role is responsible for providing commissioning leadership, direction, supervision and professional/technical guidance to a team including Quality Assurance and </w:t>
      </w:r>
      <w:r w:rsidR="00E91017">
        <w:t>Commissioning Officers</w:t>
      </w:r>
      <w:r w:rsidRPr="00F301A3">
        <w:t xml:space="preserve">, in delivering specialist </w:t>
      </w:r>
      <w:r w:rsidR="00001FD2">
        <w:t xml:space="preserve">0-19, </w:t>
      </w:r>
      <w:r w:rsidRPr="00F301A3">
        <w:t>Education and Children’s Social Care services ensuring that commissioned services are compl</w:t>
      </w:r>
      <w:r w:rsidR="00C5637E">
        <w:t>ying</w:t>
      </w:r>
      <w:r w:rsidRPr="00F301A3">
        <w:t xml:space="preserve"> </w:t>
      </w:r>
      <w:r w:rsidR="00C5637E">
        <w:t>with</w:t>
      </w:r>
      <w:r w:rsidRPr="00F301A3">
        <w:t xml:space="preserve"> contractual terms and quality frameworks. Ensure providers are held accountable for both performance and quality service provision.</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1FA69D40" w14:textId="215E674F" w:rsidR="007B3F54" w:rsidRDefault="003774CC" w:rsidP="007B3F54">
      <w:pPr>
        <w:pStyle w:val="ListParagraph"/>
        <w:numPr>
          <w:ilvl w:val="0"/>
          <w:numId w:val="13"/>
        </w:numPr>
        <w:spacing w:before="240"/>
      </w:pPr>
      <w:r w:rsidRPr="003774CC">
        <w:t>Leading the development implementation and management of appropriate contract models and performance and quality measures across a range of service providers ensuring that commissioned and internal service providers adhere to contractual/ SLA terms and conditions and that positive outcomes for children, young people and families are achieved</w:t>
      </w:r>
      <w:r w:rsidR="001F605F">
        <w:t>.</w:t>
      </w:r>
    </w:p>
    <w:p w14:paraId="167CD28C" w14:textId="2FDBD5D2" w:rsidR="007B3F54" w:rsidRPr="007B3F54" w:rsidRDefault="007B3F54" w:rsidP="007B3F54">
      <w:pPr>
        <w:pStyle w:val="ListParagraph"/>
        <w:numPr>
          <w:ilvl w:val="0"/>
          <w:numId w:val="13"/>
        </w:numPr>
        <w:spacing w:before="240"/>
      </w:pPr>
      <w:r w:rsidRPr="007B3F54">
        <w:t>Leading the use of contractual frameworks to effectively manage performance of</w:t>
      </w:r>
      <w:r w:rsidRPr="007B3F54">
        <w:rPr>
          <w:spacing w:val="1"/>
        </w:rPr>
        <w:t xml:space="preserve"> </w:t>
      </w:r>
      <w:r w:rsidRPr="007B3F54">
        <w:t>providers</w:t>
      </w:r>
      <w:r w:rsidRPr="007B3F54">
        <w:rPr>
          <w:spacing w:val="-1"/>
        </w:rPr>
        <w:t xml:space="preserve"> </w:t>
      </w:r>
      <w:r w:rsidRPr="007B3F54">
        <w:t>and</w:t>
      </w:r>
      <w:r w:rsidRPr="007B3F54">
        <w:rPr>
          <w:spacing w:val="-2"/>
        </w:rPr>
        <w:t xml:space="preserve"> </w:t>
      </w:r>
      <w:r w:rsidRPr="007B3F54">
        <w:t>de-commission</w:t>
      </w:r>
      <w:r w:rsidRPr="007B3F54">
        <w:rPr>
          <w:spacing w:val="-2"/>
        </w:rPr>
        <w:t xml:space="preserve"> </w:t>
      </w:r>
      <w:r w:rsidRPr="007B3F54">
        <w:t>those</w:t>
      </w:r>
      <w:r w:rsidRPr="007B3F54">
        <w:rPr>
          <w:spacing w:val="-3"/>
        </w:rPr>
        <w:t xml:space="preserve"> </w:t>
      </w:r>
      <w:r w:rsidRPr="007B3F54">
        <w:t>services</w:t>
      </w:r>
      <w:r w:rsidRPr="007B3F54">
        <w:rPr>
          <w:spacing w:val="-4"/>
        </w:rPr>
        <w:t xml:space="preserve"> </w:t>
      </w:r>
      <w:r w:rsidRPr="007B3F54">
        <w:t>that</w:t>
      </w:r>
      <w:r w:rsidRPr="007B3F54">
        <w:rPr>
          <w:spacing w:val="-5"/>
        </w:rPr>
        <w:t xml:space="preserve"> </w:t>
      </w:r>
      <w:r w:rsidRPr="007B3F54">
        <w:t>fail</w:t>
      </w:r>
      <w:r w:rsidRPr="007B3F54">
        <w:rPr>
          <w:spacing w:val="-1"/>
        </w:rPr>
        <w:t xml:space="preserve"> </w:t>
      </w:r>
      <w:r w:rsidRPr="007B3F54">
        <w:t>to</w:t>
      </w:r>
      <w:r w:rsidRPr="007B3F54">
        <w:rPr>
          <w:spacing w:val="-6"/>
        </w:rPr>
        <w:t xml:space="preserve"> </w:t>
      </w:r>
      <w:r w:rsidRPr="007B3F54">
        <w:t>meet</w:t>
      </w:r>
      <w:r w:rsidRPr="007B3F54">
        <w:rPr>
          <w:spacing w:val="-5"/>
        </w:rPr>
        <w:t xml:space="preserve"> </w:t>
      </w:r>
      <w:r w:rsidRPr="007B3F54">
        <w:t>quality</w:t>
      </w:r>
      <w:r w:rsidRPr="007B3F54">
        <w:rPr>
          <w:spacing w:val="-3"/>
        </w:rPr>
        <w:t xml:space="preserve"> </w:t>
      </w:r>
      <w:r w:rsidRPr="007B3F54">
        <w:t>or compliance</w:t>
      </w:r>
    </w:p>
    <w:p w14:paraId="20FBDAD0" w14:textId="77777777" w:rsidR="001F605F" w:rsidRDefault="001F605F" w:rsidP="001F605F">
      <w:pPr>
        <w:pStyle w:val="ListParagraph"/>
      </w:pPr>
      <w:r w:rsidRPr="00941D54">
        <w:t>S</w:t>
      </w:r>
      <w:r w:rsidR="007B3F54" w:rsidRPr="00941D54">
        <w:t>tanda</w:t>
      </w:r>
      <w:r>
        <w:t>rds.</w:t>
      </w:r>
    </w:p>
    <w:p w14:paraId="25C43BEA" w14:textId="4C9244E4" w:rsidR="006A2E9A" w:rsidRDefault="00BE046D" w:rsidP="001F605F">
      <w:pPr>
        <w:pStyle w:val="ListParagraph"/>
        <w:numPr>
          <w:ilvl w:val="0"/>
          <w:numId w:val="13"/>
        </w:numPr>
      </w:pPr>
      <w:r w:rsidRPr="00941D54">
        <w:t>Leading</w:t>
      </w:r>
      <w:r w:rsidRPr="00941D54">
        <w:rPr>
          <w:spacing w:val="-4"/>
        </w:rPr>
        <w:t xml:space="preserve"> </w:t>
      </w:r>
      <w:r w:rsidRPr="00941D54">
        <w:t>the</w:t>
      </w:r>
      <w:r w:rsidRPr="00941D54">
        <w:rPr>
          <w:spacing w:val="-5"/>
        </w:rPr>
        <w:t xml:space="preserve"> </w:t>
      </w:r>
      <w:r w:rsidRPr="00941D54">
        <w:t>management</w:t>
      </w:r>
      <w:r w:rsidRPr="00941D54">
        <w:rPr>
          <w:spacing w:val="-1"/>
        </w:rPr>
        <w:t xml:space="preserve"> </w:t>
      </w:r>
      <w:r w:rsidRPr="00941D54">
        <w:t>of</w:t>
      </w:r>
      <w:r w:rsidRPr="00941D54">
        <w:rPr>
          <w:spacing w:val="-4"/>
        </w:rPr>
        <w:t xml:space="preserve"> </w:t>
      </w:r>
      <w:r w:rsidRPr="00941D54">
        <w:t>relationships</w:t>
      </w:r>
      <w:r w:rsidRPr="00941D54">
        <w:rPr>
          <w:spacing w:val="-2"/>
        </w:rPr>
        <w:t xml:space="preserve"> </w:t>
      </w:r>
      <w:r w:rsidRPr="00941D54">
        <w:t>with</w:t>
      </w:r>
      <w:r w:rsidRPr="00941D54">
        <w:rPr>
          <w:spacing w:val="-4"/>
        </w:rPr>
        <w:t xml:space="preserve"> </w:t>
      </w:r>
      <w:r w:rsidRPr="00941D54">
        <w:t>contracted</w:t>
      </w:r>
      <w:r w:rsidRPr="00941D54">
        <w:rPr>
          <w:spacing w:val="-3"/>
        </w:rPr>
        <w:t xml:space="preserve"> </w:t>
      </w:r>
      <w:r w:rsidRPr="00941D54">
        <w:t>and</w:t>
      </w:r>
      <w:r w:rsidRPr="00941D54">
        <w:rPr>
          <w:spacing w:val="-5"/>
        </w:rPr>
        <w:t xml:space="preserve"> </w:t>
      </w:r>
      <w:r w:rsidRPr="00941D54">
        <w:t>internal</w:t>
      </w:r>
      <w:r w:rsidRPr="00941D54">
        <w:rPr>
          <w:spacing w:val="-3"/>
        </w:rPr>
        <w:t xml:space="preserve"> </w:t>
      </w:r>
      <w:r w:rsidRPr="00941D54">
        <w:t>providers</w:t>
      </w:r>
      <w:r>
        <w:t>,</w:t>
      </w:r>
      <w:r w:rsidRPr="00941D54">
        <w:rPr>
          <w:spacing w:val="-2"/>
        </w:rPr>
        <w:t xml:space="preserve"> </w:t>
      </w:r>
      <w:r w:rsidRPr="00941D54">
        <w:t>other</w:t>
      </w:r>
      <w:r w:rsidR="00C71343">
        <w:t xml:space="preserve"> </w:t>
      </w:r>
      <w:r>
        <w:t>s</w:t>
      </w:r>
      <w:r w:rsidRPr="00941D54">
        <w:t>takeholders, regulators, children, young people</w:t>
      </w:r>
      <w:r>
        <w:t xml:space="preserve"> and </w:t>
      </w:r>
      <w:r w:rsidRPr="00941D54">
        <w:t xml:space="preserve">families in managing </w:t>
      </w:r>
      <w:r w:rsidR="00C71343">
        <w:t>c</w:t>
      </w:r>
      <w:r w:rsidRPr="00941D54">
        <w:t xml:space="preserve">ompliance and </w:t>
      </w:r>
      <w:r>
        <w:t>the delivery</w:t>
      </w:r>
      <w:r w:rsidRPr="00C71343">
        <w:rPr>
          <w:spacing w:val="-3"/>
        </w:rPr>
        <w:t xml:space="preserve"> </w:t>
      </w:r>
      <w:r w:rsidRPr="00941D54">
        <w:t>of</w:t>
      </w:r>
      <w:r w:rsidRPr="00C71343">
        <w:rPr>
          <w:spacing w:val="-1"/>
        </w:rPr>
        <w:t xml:space="preserve"> </w:t>
      </w:r>
      <w:r w:rsidR="00F53F73" w:rsidRPr="00941D54">
        <w:t>high</w:t>
      </w:r>
      <w:r w:rsidR="00F53F73" w:rsidRPr="00C71343">
        <w:rPr>
          <w:spacing w:val="-2"/>
        </w:rPr>
        <w:t>-quality</w:t>
      </w:r>
      <w:r w:rsidRPr="00C71343">
        <w:rPr>
          <w:spacing w:val="-2"/>
        </w:rPr>
        <w:t xml:space="preserve"> </w:t>
      </w:r>
      <w:r w:rsidRPr="00941D54">
        <w:t>services</w:t>
      </w:r>
      <w:r w:rsidR="00C71343">
        <w:t>.</w:t>
      </w:r>
    </w:p>
    <w:p w14:paraId="36029A84" w14:textId="2D6546EB" w:rsidR="006E5D4E" w:rsidRDefault="006A2E9A" w:rsidP="001F605F">
      <w:pPr>
        <w:pStyle w:val="ListParagraph"/>
        <w:numPr>
          <w:ilvl w:val="0"/>
          <w:numId w:val="13"/>
        </w:numPr>
      </w:pPr>
      <w:r w:rsidRPr="006A2E9A">
        <w:t>Ensuring the governance and management of performance / quality</w:t>
      </w:r>
      <w:r w:rsidRPr="006A2E9A">
        <w:rPr>
          <w:spacing w:val="1"/>
        </w:rPr>
        <w:t xml:space="preserve"> </w:t>
      </w:r>
      <w:r w:rsidRPr="006A2E9A">
        <w:t>standards and payments for service providers using suitable tools, databases and</w:t>
      </w:r>
      <w:r w:rsidRPr="006A2E9A">
        <w:rPr>
          <w:spacing w:val="1"/>
        </w:rPr>
        <w:t xml:space="preserve"> </w:t>
      </w:r>
      <w:r w:rsidRPr="006A2E9A">
        <w:t>templates</w:t>
      </w:r>
      <w:r w:rsidRPr="006A2E9A">
        <w:rPr>
          <w:spacing w:val="-4"/>
        </w:rPr>
        <w:t xml:space="preserve"> </w:t>
      </w:r>
      <w:r w:rsidRPr="006A2E9A">
        <w:t>to</w:t>
      </w:r>
      <w:r w:rsidRPr="006A2E9A">
        <w:rPr>
          <w:spacing w:val="-3"/>
        </w:rPr>
        <w:t xml:space="preserve"> </w:t>
      </w:r>
      <w:r w:rsidRPr="006A2E9A">
        <w:t>ensure</w:t>
      </w:r>
      <w:r w:rsidRPr="006A2E9A">
        <w:rPr>
          <w:spacing w:val="-4"/>
        </w:rPr>
        <w:t xml:space="preserve"> </w:t>
      </w:r>
      <w:r w:rsidRPr="006A2E9A">
        <w:t>consistency</w:t>
      </w:r>
      <w:r w:rsidRPr="006A2E9A">
        <w:rPr>
          <w:spacing w:val="-4"/>
        </w:rPr>
        <w:t xml:space="preserve"> </w:t>
      </w:r>
      <w:r w:rsidRPr="006A2E9A">
        <w:t>and</w:t>
      </w:r>
      <w:r w:rsidRPr="006A2E9A">
        <w:rPr>
          <w:spacing w:val="-2"/>
        </w:rPr>
        <w:t xml:space="preserve"> </w:t>
      </w:r>
      <w:r w:rsidRPr="006A2E9A">
        <w:t>transparency</w:t>
      </w:r>
      <w:r w:rsidRPr="006A2E9A">
        <w:rPr>
          <w:spacing w:val="-4"/>
        </w:rPr>
        <w:t xml:space="preserve"> </w:t>
      </w:r>
      <w:r w:rsidRPr="006A2E9A">
        <w:t>of</w:t>
      </w:r>
      <w:r w:rsidRPr="006A2E9A">
        <w:rPr>
          <w:spacing w:val="-1"/>
        </w:rPr>
        <w:t xml:space="preserve"> </w:t>
      </w:r>
      <w:r w:rsidRPr="006A2E9A">
        <w:t>information</w:t>
      </w:r>
      <w:r w:rsidR="001F605F">
        <w:t xml:space="preserve"> and</w:t>
      </w:r>
      <w:r w:rsidRPr="006A2E9A">
        <w:rPr>
          <w:spacing w:val="-2"/>
        </w:rPr>
        <w:t xml:space="preserve"> </w:t>
      </w:r>
      <w:r w:rsidRPr="006A2E9A">
        <w:t>to</w:t>
      </w:r>
      <w:r w:rsidRPr="006A2E9A">
        <w:rPr>
          <w:spacing w:val="-4"/>
        </w:rPr>
        <w:t xml:space="preserve"> </w:t>
      </w:r>
      <w:r w:rsidRPr="006A2E9A">
        <w:t>inform</w:t>
      </w:r>
      <w:r w:rsidRPr="006A2E9A">
        <w:rPr>
          <w:spacing w:val="-3"/>
        </w:rPr>
        <w:t xml:space="preserve"> </w:t>
      </w:r>
      <w:r w:rsidRPr="006A2E9A">
        <w:t>service</w:t>
      </w:r>
      <w:r w:rsidR="001F605F">
        <w:t xml:space="preserve"> </w:t>
      </w:r>
      <w:r w:rsidRPr="00941D54">
        <w:t>planning</w:t>
      </w:r>
      <w:r>
        <w:t>.</w:t>
      </w:r>
    </w:p>
    <w:p w14:paraId="3C5154BA" w14:textId="0F6AC43C" w:rsidR="00F13B0A" w:rsidRDefault="006E5D4E" w:rsidP="00F13B0A">
      <w:pPr>
        <w:pStyle w:val="ListParagraph"/>
        <w:numPr>
          <w:ilvl w:val="0"/>
          <w:numId w:val="13"/>
        </w:numPr>
        <w:ind w:right="138"/>
      </w:pPr>
      <w:r w:rsidRPr="00F13B0A">
        <w:rPr>
          <w:spacing w:val="-1"/>
        </w:rPr>
        <w:t>To</w:t>
      </w:r>
      <w:r w:rsidRPr="00F13B0A">
        <w:rPr>
          <w:spacing w:val="-12"/>
        </w:rPr>
        <w:t xml:space="preserve"> </w:t>
      </w:r>
      <w:r w:rsidRPr="00F13B0A">
        <w:rPr>
          <w:spacing w:val="-1"/>
        </w:rPr>
        <w:t>lead</w:t>
      </w:r>
      <w:r w:rsidRPr="00F13B0A">
        <w:rPr>
          <w:spacing w:val="-14"/>
        </w:rPr>
        <w:t xml:space="preserve"> </w:t>
      </w:r>
      <w:r w:rsidRPr="00F13B0A">
        <w:rPr>
          <w:spacing w:val="-1"/>
        </w:rPr>
        <w:t>the</w:t>
      </w:r>
      <w:r w:rsidRPr="00F13B0A">
        <w:rPr>
          <w:spacing w:val="-12"/>
        </w:rPr>
        <w:t xml:space="preserve"> </w:t>
      </w:r>
      <w:r w:rsidRPr="00F13B0A">
        <w:rPr>
          <w:spacing w:val="-1"/>
        </w:rPr>
        <w:t>development</w:t>
      </w:r>
      <w:r w:rsidRPr="00F13B0A">
        <w:rPr>
          <w:spacing w:val="-13"/>
        </w:rPr>
        <w:t xml:space="preserve"> </w:t>
      </w:r>
      <w:r w:rsidRPr="00F13B0A">
        <w:rPr>
          <w:spacing w:val="-1"/>
        </w:rPr>
        <w:t>and</w:t>
      </w:r>
      <w:r w:rsidRPr="00F13B0A">
        <w:rPr>
          <w:spacing w:val="-12"/>
        </w:rPr>
        <w:t xml:space="preserve"> </w:t>
      </w:r>
      <w:r w:rsidRPr="00F13B0A">
        <w:rPr>
          <w:spacing w:val="-1"/>
        </w:rPr>
        <w:t>maintenance</w:t>
      </w:r>
      <w:r w:rsidRPr="00F13B0A">
        <w:rPr>
          <w:spacing w:val="-13"/>
        </w:rPr>
        <w:t xml:space="preserve"> </w:t>
      </w:r>
      <w:r w:rsidRPr="00941D54">
        <w:t>of</w:t>
      </w:r>
      <w:r w:rsidRPr="00F13B0A">
        <w:rPr>
          <w:spacing w:val="-10"/>
        </w:rPr>
        <w:t xml:space="preserve"> </w:t>
      </w:r>
      <w:r w:rsidRPr="00941D54">
        <w:t>contractual</w:t>
      </w:r>
      <w:r w:rsidRPr="00F13B0A">
        <w:rPr>
          <w:spacing w:val="-12"/>
        </w:rPr>
        <w:t xml:space="preserve"> </w:t>
      </w:r>
      <w:r w:rsidRPr="00941D54">
        <w:t>arrangements</w:t>
      </w:r>
      <w:r w:rsidRPr="00F13B0A">
        <w:rPr>
          <w:spacing w:val="-11"/>
        </w:rPr>
        <w:t xml:space="preserve"> </w:t>
      </w:r>
      <w:r w:rsidRPr="00941D54">
        <w:t>with</w:t>
      </w:r>
      <w:r w:rsidRPr="00F13B0A">
        <w:rPr>
          <w:spacing w:val="-12"/>
        </w:rPr>
        <w:t xml:space="preserve"> </w:t>
      </w:r>
      <w:r w:rsidRPr="00941D54">
        <w:t>existing</w:t>
      </w:r>
      <w:r w:rsidRPr="00F13B0A">
        <w:rPr>
          <w:spacing w:val="-8"/>
        </w:rPr>
        <w:t xml:space="preserve"> </w:t>
      </w:r>
      <w:r w:rsidRPr="00941D54">
        <w:t>and</w:t>
      </w:r>
      <w:r w:rsidRPr="00F13B0A">
        <w:rPr>
          <w:spacing w:val="-59"/>
        </w:rPr>
        <w:t xml:space="preserve"> </w:t>
      </w:r>
      <w:r w:rsidRPr="00941D54">
        <w:t xml:space="preserve">new service providers, including the (re) negotiation of commissioning </w:t>
      </w:r>
      <w:r w:rsidR="00F13B0A">
        <w:t>a</w:t>
      </w:r>
      <w:r w:rsidRPr="00941D54">
        <w:t>greements and</w:t>
      </w:r>
      <w:r w:rsidRPr="00F13B0A">
        <w:rPr>
          <w:spacing w:val="1"/>
        </w:rPr>
        <w:t xml:space="preserve"> </w:t>
      </w:r>
      <w:r w:rsidRPr="00941D54">
        <w:t>contracts</w:t>
      </w:r>
      <w:r w:rsidRPr="00F13B0A">
        <w:rPr>
          <w:spacing w:val="37"/>
        </w:rPr>
        <w:t xml:space="preserve"> </w:t>
      </w:r>
      <w:r w:rsidRPr="00941D54">
        <w:t>and</w:t>
      </w:r>
      <w:r w:rsidRPr="00F13B0A">
        <w:rPr>
          <w:spacing w:val="38"/>
        </w:rPr>
        <w:t xml:space="preserve"> </w:t>
      </w:r>
      <w:r w:rsidRPr="00941D54">
        <w:t>lead</w:t>
      </w:r>
      <w:r w:rsidRPr="00F13B0A">
        <w:rPr>
          <w:spacing w:val="38"/>
        </w:rPr>
        <w:t xml:space="preserve"> </w:t>
      </w:r>
      <w:r w:rsidRPr="00941D54">
        <w:t>the</w:t>
      </w:r>
      <w:r w:rsidRPr="00F13B0A">
        <w:rPr>
          <w:spacing w:val="36"/>
        </w:rPr>
        <w:t xml:space="preserve"> </w:t>
      </w:r>
      <w:r w:rsidRPr="00941D54">
        <w:t>development</w:t>
      </w:r>
      <w:r w:rsidRPr="00F13B0A">
        <w:rPr>
          <w:spacing w:val="41"/>
        </w:rPr>
        <w:t xml:space="preserve"> </w:t>
      </w:r>
      <w:r w:rsidRPr="00941D54">
        <w:t>and</w:t>
      </w:r>
      <w:r w:rsidRPr="00F13B0A">
        <w:rPr>
          <w:spacing w:val="38"/>
        </w:rPr>
        <w:t xml:space="preserve"> </w:t>
      </w:r>
      <w:r w:rsidRPr="00941D54">
        <w:t>maintenance</w:t>
      </w:r>
      <w:r w:rsidRPr="00F13B0A">
        <w:rPr>
          <w:spacing w:val="40"/>
        </w:rPr>
        <w:t xml:space="preserve"> </w:t>
      </w:r>
      <w:r w:rsidRPr="00941D54">
        <w:t>of</w:t>
      </w:r>
      <w:r w:rsidRPr="00F13B0A">
        <w:rPr>
          <w:spacing w:val="41"/>
        </w:rPr>
        <w:t xml:space="preserve"> </w:t>
      </w:r>
      <w:r w:rsidRPr="00941D54">
        <w:t>effective</w:t>
      </w:r>
      <w:r w:rsidRPr="00F13B0A">
        <w:rPr>
          <w:spacing w:val="41"/>
        </w:rPr>
        <w:t xml:space="preserve"> </w:t>
      </w:r>
      <w:r w:rsidRPr="00941D54">
        <w:t>relationships</w:t>
      </w:r>
      <w:r w:rsidRPr="00F13B0A">
        <w:rPr>
          <w:spacing w:val="41"/>
        </w:rPr>
        <w:t xml:space="preserve"> </w:t>
      </w:r>
      <w:r w:rsidRPr="00941D54">
        <w:t>with</w:t>
      </w:r>
      <w:r>
        <w:t xml:space="preserve"> </w:t>
      </w:r>
      <w:r w:rsidRPr="00F13B0A">
        <w:t>regulators</w:t>
      </w:r>
      <w:r w:rsidRPr="00F13B0A">
        <w:rPr>
          <w:spacing w:val="-6"/>
        </w:rPr>
        <w:t xml:space="preserve"> </w:t>
      </w:r>
      <w:r w:rsidRPr="00F13B0A">
        <w:t>of</w:t>
      </w:r>
      <w:r w:rsidRPr="00F13B0A">
        <w:rPr>
          <w:spacing w:val="-2"/>
        </w:rPr>
        <w:t xml:space="preserve"> </w:t>
      </w:r>
      <w:r w:rsidRPr="00F13B0A">
        <w:t>services</w:t>
      </w:r>
      <w:r w:rsidRPr="00F13B0A">
        <w:rPr>
          <w:spacing w:val="-2"/>
        </w:rPr>
        <w:t xml:space="preserve"> </w:t>
      </w:r>
      <w:r w:rsidRPr="00F13B0A">
        <w:t>(where</w:t>
      </w:r>
      <w:r w:rsidRPr="00F13B0A">
        <w:rPr>
          <w:spacing w:val="-4"/>
        </w:rPr>
        <w:t xml:space="preserve"> </w:t>
      </w:r>
      <w:r w:rsidRPr="00F13B0A">
        <w:t>applicable)</w:t>
      </w:r>
    </w:p>
    <w:p w14:paraId="7E7CE3CB" w14:textId="1C8A02D8" w:rsidR="00790375" w:rsidRPr="002F545F" w:rsidRDefault="00F13B0A" w:rsidP="002F545F">
      <w:pPr>
        <w:pStyle w:val="ListParagraph"/>
        <w:numPr>
          <w:ilvl w:val="0"/>
          <w:numId w:val="13"/>
        </w:numPr>
        <w:ind w:right="138"/>
        <w:rPr>
          <w:rFonts w:cs="Arial"/>
          <w:sz w:val="24"/>
          <w:szCs w:val="24"/>
        </w:rPr>
      </w:pPr>
      <w:r w:rsidRPr="00F13B0A">
        <w:t>To oversee the establishment of arrangements designed to ensure that the quality and</w:t>
      </w:r>
      <w:r w:rsidRPr="002F545F">
        <w:rPr>
          <w:spacing w:val="1"/>
        </w:rPr>
        <w:t xml:space="preserve"> </w:t>
      </w:r>
      <w:r w:rsidRPr="00F13B0A">
        <w:t>compliance</w:t>
      </w:r>
      <w:r w:rsidRPr="002F545F">
        <w:rPr>
          <w:spacing w:val="1"/>
        </w:rPr>
        <w:t xml:space="preserve"> </w:t>
      </w:r>
      <w:r w:rsidRPr="00F13B0A">
        <w:t>of services negotiated with service providers comply with contractual</w:t>
      </w:r>
      <w:r w:rsidRPr="002F545F">
        <w:rPr>
          <w:spacing w:val="1"/>
        </w:rPr>
        <w:t xml:space="preserve"> </w:t>
      </w:r>
      <w:r w:rsidRPr="00F13B0A">
        <w:t xml:space="preserve">requirements, to oversee the investigations of allegations of contract </w:t>
      </w:r>
      <w:r w:rsidRPr="00F13B0A">
        <w:lastRenderedPageBreak/>
        <w:t>compliance</w:t>
      </w:r>
      <w:r w:rsidR="001F605F">
        <w:t xml:space="preserve"> /</w:t>
      </w:r>
      <w:r w:rsidRPr="00F13B0A">
        <w:t xml:space="preserve"> failure</w:t>
      </w:r>
      <w:r w:rsidR="001F605F">
        <w:t>,</w:t>
      </w:r>
      <w:r w:rsidR="002F545F">
        <w:t xml:space="preserve"> </w:t>
      </w:r>
      <w:r w:rsidRPr="002F545F">
        <w:rPr>
          <w:spacing w:val="-59"/>
        </w:rPr>
        <w:t xml:space="preserve"> </w:t>
      </w:r>
      <w:r w:rsidRPr="00F13B0A">
        <w:t>including</w:t>
      </w:r>
      <w:r w:rsidRPr="002F545F">
        <w:rPr>
          <w:spacing w:val="1"/>
        </w:rPr>
        <w:t xml:space="preserve"> </w:t>
      </w:r>
      <w:r w:rsidRPr="00F13B0A">
        <w:t>the</w:t>
      </w:r>
      <w:r w:rsidRPr="002F545F">
        <w:rPr>
          <w:spacing w:val="-3"/>
        </w:rPr>
        <w:t xml:space="preserve"> </w:t>
      </w:r>
      <w:r w:rsidRPr="00F13B0A">
        <w:t>management</w:t>
      </w:r>
      <w:r w:rsidRPr="002F545F">
        <w:rPr>
          <w:spacing w:val="1"/>
        </w:rPr>
        <w:t xml:space="preserve"> </w:t>
      </w:r>
      <w:r w:rsidRPr="00F13B0A">
        <w:t>of</w:t>
      </w:r>
      <w:r w:rsidRPr="002F545F">
        <w:rPr>
          <w:spacing w:val="1"/>
        </w:rPr>
        <w:t xml:space="preserve"> </w:t>
      </w:r>
      <w:r w:rsidRPr="00F13B0A">
        <w:t>breach</w:t>
      </w:r>
      <w:r w:rsidRPr="002F545F">
        <w:rPr>
          <w:spacing w:val="-1"/>
        </w:rPr>
        <w:t xml:space="preserve"> </w:t>
      </w:r>
      <w:r w:rsidRPr="00F13B0A">
        <w:t>notices and</w:t>
      </w:r>
      <w:r w:rsidRPr="002F545F">
        <w:rPr>
          <w:spacing w:val="-5"/>
        </w:rPr>
        <w:t xml:space="preserve"> </w:t>
      </w:r>
      <w:r w:rsidRPr="00F13B0A">
        <w:t>to</w:t>
      </w:r>
      <w:r w:rsidRPr="002F545F">
        <w:rPr>
          <w:spacing w:val="-1"/>
        </w:rPr>
        <w:t xml:space="preserve"> </w:t>
      </w:r>
      <w:r w:rsidRPr="00F13B0A">
        <w:t>lead</w:t>
      </w:r>
      <w:r w:rsidRPr="002F545F">
        <w:rPr>
          <w:spacing w:val="-3"/>
        </w:rPr>
        <w:t xml:space="preserve"> </w:t>
      </w:r>
      <w:r w:rsidRPr="00F13B0A">
        <w:t>the</w:t>
      </w:r>
      <w:r w:rsidRPr="002F545F">
        <w:rPr>
          <w:spacing w:val="-3"/>
        </w:rPr>
        <w:t xml:space="preserve"> </w:t>
      </w:r>
      <w:r w:rsidRPr="00F13B0A">
        <w:t>management</w:t>
      </w:r>
      <w:r w:rsidRPr="002F545F">
        <w:rPr>
          <w:spacing w:val="-4"/>
        </w:rPr>
        <w:t xml:space="preserve"> </w:t>
      </w:r>
      <w:r w:rsidRPr="00F13B0A">
        <w:t>of</w:t>
      </w:r>
      <w:r w:rsidRPr="002F545F">
        <w:rPr>
          <w:spacing w:val="1"/>
        </w:rPr>
        <w:t xml:space="preserve"> </w:t>
      </w:r>
      <w:r w:rsidRPr="00F13B0A">
        <w:t>the</w:t>
      </w:r>
      <w:r w:rsidR="003351BD">
        <w:t xml:space="preserve"> </w:t>
      </w:r>
      <w:r w:rsidRPr="00941D54">
        <w:t>effective de-commissioning of services that fail to improve</w:t>
      </w:r>
      <w:r w:rsidR="001F605F">
        <w:t>.</w:t>
      </w:r>
      <w:r w:rsidRPr="00941D54">
        <w:t xml:space="preserve"> </w:t>
      </w:r>
    </w:p>
    <w:p w14:paraId="4CF150DA" w14:textId="37ADF27D" w:rsidR="00790375" w:rsidRPr="002F545F" w:rsidRDefault="002F545F" w:rsidP="002F545F">
      <w:pPr>
        <w:pStyle w:val="ListParagraph"/>
        <w:numPr>
          <w:ilvl w:val="0"/>
          <w:numId w:val="13"/>
        </w:numPr>
        <w:rPr>
          <w:rFonts w:cs="Arial"/>
          <w:szCs w:val="22"/>
        </w:rPr>
      </w:pPr>
      <w:r w:rsidRPr="002F545F">
        <w:rPr>
          <w:rFonts w:cs="Arial"/>
          <w:szCs w:val="22"/>
        </w:rPr>
        <w:t>To provide line management or oversight of quality assurance officers to ensure the creation and maintenance of key data bases and ongoing information to support planning and commissioning strategies</w:t>
      </w:r>
    </w:p>
    <w:p w14:paraId="7D227458" w14:textId="2B35EEBF" w:rsidR="00790375" w:rsidRPr="002F545F" w:rsidRDefault="00790375" w:rsidP="002F545F">
      <w:pPr>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3B83C5E1" w14:textId="5EEE5213" w:rsidR="00A02A2D" w:rsidRPr="00A94E74" w:rsidRDefault="00A02A2D"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242C8C47" w:rsidR="00257146"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1671E939" w:rsidR="00EC1210" w:rsidRDefault="00CE3F2F" w:rsidP="00D147B6">
            <w:r w:rsidRPr="00CE3F2F">
              <w:rPr>
                <w:rFonts w:cs="Arial"/>
                <w:iCs/>
              </w:rPr>
              <w:t xml:space="preserve">Degree, Professional Qualification or relevant level of experience </w:t>
            </w:r>
            <w:r w:rsidR="00B16B7F">
              <w:rPr>
                <w:rFonts w:cs="Arial"/>
                <w:iCs/>
              </w:rPr>
              <w:t xml:space="preserve">in </w:t>
            </w:r>
            <w:r w:rsidR="003A5A37">
              <w:rPr>
                <w:rFonts w:cs="Arial"/>
                <w:iCs/>
              </w:rPr>
              <w:t>Education or Social Care</w:t>
            </w:r>
            <w:r w:rsidR="005D3385">
              <w:rPr>
                <w:rFonts w:cs="Arial"/>
                <w:iCs/>
              </w:rPr>
              <w:t xml:space="preserve"> or Commissioning </w:t>
            </w:r>
            <w:r w:rsidR="00771FDE">
              <w:rPr>
                <w:rFonts w:cs="Arial"/>
                <w:iCs/>
              </w:rPr>
              <w:t>and Contract Management Frameworks</w:t>
            </w:r>
            <w:r w:rsidR="00D91F39">
              <w:rPr>
                <w:rFonts w:cs="Arial"/>
                <w:iCs/>
              </w:rPr>
              <w:t xml:space="preserve"> </w:t>
            </w:r>
            <w:r w:rsidR="00DE161B">
              <w:rPr>
                <w:rFonts w:cs="Arial"/>
                <w:iCs/>
              </w:rPr>
              <w:t>in another relevant sector</w:t>
            </w:r>
          </w:p>
        </w:tc>
        <w:tc>
          <w:tcPr>
            <w:tcW w:w="5783" w:type="dxa"/>
          </w:tcPr>
          <w:p w14:paraId="0636DFBD" w14:textId="77777777" w:rsidR="00EC1210" w:rsidRDefault="00EC1210" w:rsidP="00EC1210"/>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1994D850" w14:textId="77777777" w:rsidR="00D147B6" w:rsidRDefault="005F65E9" w:rsidP="00EC1210">
            <w:r w:rsidRPr="005F65E9">
              <w:t>Demonstrable experience of the specialist technical knowledge of commissioning including advising on contractual models and specifying quality and performance frameworks</w:t>
            </w:r>
          </w:p>
          <w:p w14:paraId="42889A06" w14:textId="77777777" w:rsidR="005F65E9" w:rsidRDefault="005F65E9" w:rsidP="00EC1210"/>
          <w:p w14:paraId="7FA74B2F" w14:textId="77777777" w:rsidR="005F65E9" w:rsidRDefault="00D5753E" w:rsidP="00EC1210">
            <w:r w:rsidRPr="00D5753E">
              <w:t>Evidence of managing teams to effectively plan, manage and prioritise work and meeting deadlines</w:t>
            </w:r>
          </w:p>
          <w:p w14:paraId="1CB1B7DB" w14:textId="77777777" w:rsidR="00D5753E" w:rsidRDefault="00D5753E" w:rsidP="00EC1210"/>
          <w:p w14:paraId="76BB6A26" w14:textId="77777777" w:rsidR="00D5753E" w:rsidRDefault="00560E6E" w:rsidP="00EC1210">
            <w:r w:rsidRPr="00560E6E">
              <w:t>Experience of managing a range of staff, setting clear priorities and objectives and negotiating and implementing effective outcomes</w:t>
            </w:r>
          </w:p>
          <w:p w14:paraId="63F99F0E" w14:textId="77777777" w:rsidR="002423D8" w:rsidRDefault="002423D8" w:rsidP="00EC1210"/>
          <w:p w14:paraId="2D4B1025" w14:textId="77777777" w:rsidR="002423D8" w:rsidRDefault="002423D8" w:rsidP="00EC1210">
            <w:r w:rsidRPr="002423D8">
              <w:t>Management experience in education, social care or health care settings involving commissioning and management of contract performance and quality assurance issues</w:t>
            </w:r>
          </w:p>
          <w:p w14:paraId="11DDD25F" w14:textId="77777777" w:rsidR="002423D8" w:rsidRDefault="002423D8" w:rsidP="00EC1210"/>
          <w:p w14:paraId="29E297F2" w14:textId="77777777" w:rsidR="002423D8" w:rsidRDefault="00257146" w:rsidP="00EC1210">
            <w:r w:rsidRPr="00257146">
              <w:t>Experience of managing large budgets.</w:t>
            </w:r>
          </w:p>
          <w:p w14:paraId="173AC942" w14:textId="77777777" w:rsidR="00257146" w:rsidRDefault="00257146" w:rsidP="00EC1210"/>
          <w:p w14:paraId="29581E31" w14:textId="77777777" w:rsidR="00257146" w:rsidRDefault="00C47F17" w:rsidP="00EC1210">
            <w:r w:rsidRPr="00C47F17">
              <w:t>Experience of working within a multi-agency safeguarding or health governance policies and procedures</w:t>
            </w:r>
          </w:p>
          <w:p w14:paraId="52F61ACE" w14:textId="77777777" w:rsidR="00DD34D0" w:rsidRDefault="00DD34D0" w:rsidP="00EC1210"/>
          <w:p w14:paraId="4E4246D7" w14:textId="77777777" w:rsidR="00DD34D0" w:rsidRDefault="00DD34D0" w:rsidP="00EC1210">
            <w:r w:rsidRPr="00DD34D0">
              <w:lastRenderedPageBreak/>
              <w:t>Knowledge and understanding of risk assessments and managing risks and taking appropriate mitigating actions</w:t>
            </w:r>
          </w:p>
          <w:p w14:paraId="43128C81" w14:textId="77777777" w:rsidR="00B4205F" w:rsidRDefault="00B4205F" w:rsidP="00EC1210"/>
          <w:p w14:paraId="6DC385D1" w14:textId="2736EAFB" w:rsidR="00B4205F" w:rsidRDefault="00B4205F" w:rsidP="00EC1210">
            <w:r w:rsidRPr="00B4205F">
              <w:t>Knowledge and understanding of Information Governance and Data Protection and the ability to embed and manage in service delivery</w:t>
            </w:r>
          </w:p>
        </w:tc>
        <w:tc>
          <w:tcPr>
            <w:tcW w:w="5783" w:type="dxa"/>
          </w:tcPr>
          <w:p w14:paraId="00F19D37" w14:textId="77777777" w:rsidR="00EC1210" w:rsidRDefault="00EC1210" w:rsidP="00EC1210"/>
        </w:tc>
      </w:tr>
      <w:tr w:rsidR="008C6DC4" w14:paraId="02D0DA39" w14:textId="77777777" w:rsidTr="00101E5C">
        <w:trPr>
          <w:trHeight w:val="2284"/>
        </w:trPr>
        <w:tc>
          <w:tcPr>
            <w:tcW w:w="2405" w:type="dxa"/>
          </w:tcPr>
          <w:p w14:paraId="4BE1516C" w14:textId="14FA5DB5" w:rsidR="00EC1210" w:rsidRDefault="00EC1210" w:rsidP="00EC1210">
            <w:r>
              <w:t>Ability and Skills</w:t>
            </w:r>
          </w:p>
        </w:tc>
        <w:tc>
          <w:tcPr>
            <w:tcW w:w="5812" w:type="dxa"/>
          </w:tcPr>
          <w:p w14:paraId="5AE9EC41" w14:textId="3083FC7A" w:rsidR="00101E5C" w:rsidRDefault="00101E5C" w:rsidP="00101E5C">
            <w:pPr>
              <w:spacing w:after="600"/>
              <w:rPr>
                <w:rFonts w:cs="Arial"/>
              </w:rPr>
            </w:pPr>
            <w:r w:rsidRPr="00101E5C">
              <w:rPr>
                <w:rFonts w:cs="Arial"/>
              </w:rPr>
              <w:t>Practical, legal and procedural knowledge of commissioning models, contractual compliance and performance issues and safeguarding</w:t>
            </w:r>
          </w:p>
          <w:p w14:paraId="008F8611" w14:textId="62D3301E" w:rsidR="00101E5C" w:rsidRPr="00101E5C" w:rsidRDefault="00101E5C" w:rsidP="00101E5C">
            <w:pPr>
              <w:spacing w:after="600"/>
              <w:rPr>
                <w:rFonts w:cs="Arial"/>
              </w:rPr>
            </w:pPr>
            <w:r w:rsidRPr="00101E5C">
              <w:rPr>
                <w:rFonts w:cs="Arial"/>
              </w:rPr>
              <w:t>Advanced skills and knowledge relevant to the specialist technical function (compliance and contractual issues e.g. regulatory framework and contract law)</w:t>
            </w:r>
          </w:p>
          <w:p w14:paraId="1D16DD3F" w14:textId="77777777" w:rsidR="00101E5C" w:rsidRPr="00101E5C" w:rsidRDefault="00101E5C" w:rsidP="00101E5C">
            <w:pPr>
              <w:spacing w:after="600"/>
              <w:rPr>
                <w:rFonts w:cs="Arial"/>
              </w:rPr>
            </w:pPr>
            <w:r w:rsidRPr="00101E5C">
              <w:rPr>
                <w:rFonts w:cs="Arial"/>
              </w:rPr>
              <w:t>Ability to work with partners to set leadership and direction and influence change</w:t>
            </w:r>
          </w:p>
          <w:p w14:paraId="11326DAB" w14:textId="77777777" w:rsidR="00101E5C" w:rsidRPr="00101E5C" w:rsidRDefault="00101E5C" w:rsidP="00101E5C">
            <w:pPr>
              <w:spacing w:after="600"/>
              <w:rPr>
                <w:rFonts w:cs="Arial"/>
              </w:rPr>
            </w:pPr>
            <w:r w:rsidRPr="00101E5C">
              <w:rPr>
                <w:rFonts w:cs="Arial"/>
              </w:rPr>
              <w:t>Ability to sustain and develop collaborative relationships with all partners, whether internal or external, ensuring that all stakeholders are engaged and informed</w:t>
            </w:r>
          </w:p>
          <w:p w14:paraId="56A5E571" w14:textId="77777777" w:rsidR="00101E5C" w:rsidRPr="00101E5C" w:rsidRDefault="00101E5C" w:rsidP="00101E5C">
            <w:pPr>
              <w:spacing w:after="600"/>
              <w:rPr>
                <w:rFonts w:cs="Arial"/>
              </w:rPr>
            </w:pPr>
            <w:r w:rsidRPr="00101E5C">
              <w:rPr>
                <w:rFonts w:cs="Arial"/>
              </w:rPr>
              <w:t>Ability to analyse highly complex assessment outcomes, identify problems and offer solutions</w:t>
            </w:r>
          </w:p>
          <w:p w14:paraId="355FF79B" w14:textId="77777777" w:rsidR="00101E5C" w:rsidRPr="00101E5C" w:rsidRDefault="00101E5C" w:rsidP="00101E5C">
            <w:pPr>
              <w:spacing w:after="600"/>
              <w:rPr>
                <w:rFonts w:cs="Arial"/>
              </w:rPr>
            </w:pPr>
            <w:r w:rsidRPr="00101E5C">
              <w:rPr>
                <w:rFonts w:cs="Arial"/>
              </w:rPr>
              <w:lastRenderedPageBreak/>
              <w:t>Ability to use a range of information to provide clear decision making and prioritise and review performance against targets set</w:t>
            </w:r>
          </w:p>
          <w:p w14:paraId="1DFD7EB1" w14:textId="3DAAC57B" w:rsidR="00EC1210" w:rsidRPr="0030234B" w:rsidRDefault="00101E5C" w:rsidP="00101E5C">
            <w:pPr>
              <w:spacing w:after="600"/>
              <w:rPr>
                <w:rFonts w:cs="Arial"/>
              </w:rPr>
            </w:pPr>
            <w:r w:rsidRPr="00101E5C">
              <w:rPr>
                <w:rFonts w:cs="Arial"/>
              </w:rPr>
              <w:t>Communication and persuasion skills including negotiation, partnership working and report-writing skills, sound and accurate ICT and keyboard skills</w:t>
            </w:r>
          </w:p>
        </w:tc>
        <w:tc>
          <w:tcPr>
            <w:tcW w:w="5783" w:type="dxa"/>
          </w:tcPr>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2AD0EA2F" w14:textId="516E05D5" w:rsidR="00A11269" w:rsidRDefault="00A11269" w:rsidP="00A11269">
            <w:pPr>
              <w:rPr>
                <w:rFonts w:cs="Arial"/>
              </w:rPr>
            </w:pPr>
            <w:r w:rsidRPr="00A11269">
              <w:rPr>
                <w:rFonts w:cs="Arial"/>
              </w:rPr>
              <w:t>High level of political awareness</w:t>
            </w:r>
          </w:p>
          <w:p w14:paraId="04E29B8B" w14:textId="77777777" w:rsidR="00A11269" w:rsidRPr="00A11269" w:rsidRDefault="00A11269" w:rsidP="00A11269">
            <w:pPr>
              <w:rPr>
                <w:rFonts w:cs="Arial"/>
              </w:rPr>
            </w:pPr>
          </w:p>
          <w:p w14:paraId="610008E7" w14:textId="2BB4C81F" w:rsidR="00C044FA" w:rsidRPr="008D5D92" w:rsidRDefault="00A11269" w:rsidP="00A11269">
            <w:pPr>
              <w:rPr>
                <w:rFonts w:cs="Arial"/>
              </w:rPr>
            </w:pPr>
            <w:r w:rsidRPr="00A11269">
              <w:rPr>
                <w:rFonts w:cs="Arial"/>
              </w:rPr>
              <w:t>High level of probity and integrity</w:t>
            </w: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AFDD" w14:textId="77777777" w:rsidR="004870D1" w:rsidRDefault="004870D1">
      <w:r>
        <w:separator/>
      </w:r>
    </w:p>
  </w:endnote>
  <w:endnote w:type="continuationSeparator" w:id="0">
    <w:p w14:paraId="37DDB079" w14:textId="77777777" w:rsidR="004870D1" w:rsidRDefault="0048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9323" w14:textId="77777777" w:rsidR="004870D1" w:rsidRDefault="004870D1">
      <w:r>
        <w:separator/>
      </w:r>
    </w:p>
  </w:footnote>
  <w:footnote w:type="continuationSeparator" w:id="0">
    <w:p w14:paraId="3429381F" w14:textId="77777777" w:rsidR="004870D1" w:rsidRDefault="0048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5F3A0A78" w:rsidR="00D86594" w:rsidRPr="002A27DD" w:rsidRDefault="002A27DD" w:rsidP="002A27DD">
    <w:pPr>
      <w:pStyle w:val="Header"/>
    </w:pPr>
    <w:r>
      <w:rPr>
        <w:b/>
        <w:noProof/>
        <w:lang w:eastAsia="en-GB"/>
      </w:rPr>
      <w:drawing>
        <wp:inline distT="0" distB="0" distL="0" distR="0" wp14:anchorId="50B0788E" wp14:editId="44C96EDB">
          <wp:extent cx="2019300" cy="1106099"/>
          <wp:effectExtent l="0" t="0" r="0" b="0"/>
          <wp:docPr id="1" name="Picture 1" descr="C:\Users\CKiernan\AppData\Local\Microsoft\Windows\INetCache\Content.MSO\1DF804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iernan\AppData\Local\Microsoft\Windows\INetCache\Content.MSO\1DF804E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007" cy="11278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23C19"/>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AE1CD6"/>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11"/>
  </w:num>
  <w:num w:numId="6">
    <w:abstractNumId w:val="9"/>
  </w:num>
  <w:num w:numId="7">
    <w:abstractNumId w:val="0"/>
  </w:num>
  <w:num w:numId="8">
    <w:abstractNumId w:val="7"/>
  </w:num>
  <w:num w:numId="9">
    <w:abstractNumId w:val="3"/>
  </w:num>
  <w:num w:numId="10">
    <w:abstractNumId w:val="13"/>
  </w:num>
  <w:num w:numId="11">
    <w:abstractNumId w:val="4"/>
  </w:num>
  <w:num w:numId="12">
    <w:abstractNumId w:val="12"/>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1FD2"/>
    <w:rsid w:val="000277A9"/>
    <w:rsid w:val="0004659E"/>
    <w:rsid w:val="000478C0"/>
    <w:rsid w:val="00077B60"/>
    <w:rsid w:val="00082751"/>
    <w:rsid w:val="00092775"/>
    <w:rsid w:val="00096B66"/>
    <w:rsid w:val="000A7C3E"/>
    <w:rsid w:val="000B71A7"/>
    <w:rsid w:val="000C095F"/>
    <w:rsid w:val="000C5D34"/>
    <w:rsid w:val="000C77CC"/>
    <w:rsid w:val="000D2B0C"/>
    <w:rsid w:val="00101E5C"/>
    <w:rsid w:val="00123D47"/>
    <w:rsid w:val="00144F4A"/>
    <w:rsid w:val="00197B17"/>
    <w:rsid w:val="001A0B6E"/>
    <w:rsid w:val="001A4C37"/>
    <w:rsid w:val="001B4C46"/>
    <w:rsid w:val="001C35BB"/>
    <w:rsid w:val="001D3D4E"/>
    <w:rsid w:val="001E019D"/>
    <w:rsid w:val="001F605F"/>
    <w:rsid w:val="002423D8"/>
    <w:rsid w:val="00242B6D"/>
    <w:rsid w:val="002501F8"/>
    <w:rsid w:val="00257146"/>
    <w:rsid w:val="00260399"/>
    <w:rsid w:val="00275547"/>
    <w:rsid w:val="00286D23"/>
    <w:rsid w:val="0029539B"/>
    <w:rsid w:val="002A27DD"/>
    <w:rsid w:val="002B6CC3"/>
    <w:rsid w:val="002F545F"/>
    <w:rsid w:val="00300BB7"/>
    <w:rsid w:val="0030234B"/>
    <w:rsid w:val="00317C27"/>
    <w:rsid w:val="003351BD"/>
    <w:rsid w:val="003369C6"/>
    <w:rsid w:val="0036016B"/>
    <w:rsid w:val="00371532"/>
    <w:rsid w:val="003774CC"/>
    <w:rsid w:val="003A5A37"/>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870D1"/>
    <w:rsid w:val="004A2CE6"/>
    <w:rsid w:val="004B51DB"/>
    <w:rsid w:val="004D7A1E"/>
    <w:rsid w:val="004E7FEE"/>
    <w:rsid w:val="005059D9"/>
    <w:rsid w:val="00506502"/>
    <w:rsid w:val="00521952"/>
    <w:rsid w:val="005310B2"/>
    <w:rsid w:val="0054323C"/>
    <w:rsid w:val="00553197"/>
    <w:rsid w:val="00560E6E"/>
    <w:rsid w:val="00562A7F"/>
    <w:rsid w:val="0056538A"/>
    <w:rsid w:val="005842EF"/>
    <w:rsid w:val="005937AE"/>
    <w:rsid w:val="005A29E6"/>
    <w:rsid w:val="005B1DFB"/>
    <w:rsid w:val="005D3385"/>
    <w:rsid w:val="005E1583"/>
    <w:rsid w:val="005E2DA8"/>
    <w:rsid w:val="005F65E9"/>
    <w:rsid w:val="00610C14"/>
    <w:rsid w:val="00621E0D"/>
    <w:rsid w:val="006227F3"/>
    <w:rsid w:val="0063497F"/>
    <w:rsid w:val="00641029"/>
    <w:rsid w:val="00676AA1"/>
    <w:rsid w:val="006A2E9A"/>
    <w:rsid w:val="006A5C51"/>
    <w:rsid w:val="006A7765"/>
    <w:rsid w:val="006B23A0"/>
    <w:rsid w:val="006B5DCE"/>
    <w:rsid w:val="006B6105"/>
    <w:rsid w:val="006B6D41"/>
    <w:rsid w:val="006D232C"/>
    <w:rsid w:val="006E5D4E"/>
    <w:rsid w:val="00711AFE"/>
    <w:rsid w:val="007409C2"/>
    <w:rsid w:val="0074659B"/>
    <w:rsid w:val="007511CD"/>
    <w:rsid w:val="00751589"/>
    <w:rsid w:val="00756596"/>
    <w:rsid w:val="007576D2"/>
    <w:rsid w:val="0076369F"/>
    <w:rsid w:val="00771FDE"/>
    <w:rsid w:val="00780C11"/>
    <w:rsid w:val="00785805"/>
    <w:rsid w:val="00787881"/>
    <w:rsid w:val="00790375"/>
    <w:rsid w:val="007A41B3"/>
    <w:rsid w:val="007B3F54"/>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1269"/>
    <w:rsid w:val="00A14028"/>
    <w:rsid w:val="00A32998"/>
    <w:rsid w:val="00A37CC3"/>
    <w:rsid w:val="00A44190"/>
    <w:rsid w:val="00A5047D"/>
    <w:rsid w:val="00A65840"/>
    <w:rsid w:val="00A800DB"/>
    <w:rsid w:val="00A94E74"/>
    <w:rsid w:val="00AB012A"/>
    <w:rsid w:val="00AB3B47"/>
    <w:rsid w:val="00AB550C"/>
    <w:rsid w:val="00AB5EC7"/>
    <w:rsid w:val="00AC2EF1"/>
    <w:rsid w:val="00AD1A57"/>
    <w:rsid w:val="00B10396"/>
    <w:rsid w:val="00B1645D"/>
    <w:rsid w:val="00B16B7F"/>
    <w:rsid w:val="00B26FCF"/>
    <w:rsid w:val="00B4205F"/>
    <w:rsid w:val="00B42741"/>
    <w:rsid w:val="00B55784"/>
    <w:rsid w:val="00B60AE7"/>
    <w:rsid w:val="00B62905"/>
    <w:rsid w:val="00B9254B"/>
    <w:rsid w:val="00B94151"/>
    <w:rsid w:val="00BA0820"/>
    <w:rsid w:val="00BB408D"/>
    <w:rsid w:val="00BD46DB"/>
    <w:rsid w:val="00BD4B98"/>
    <w:rsid w:val="00BE046D"/>
    <w:rsid w:val="00BF35BE"/>
    <w:rsid w:val="00BF61A2"/>
    <w:rsid w:val="00C044FA"/>
    <w:rsid w:val="00C066AE"/>
    <w:rsid w:val="00C44291"/>
    <w:rsid w:val="00C47F17"/>
    <w:rsid w:val="00C5637E"/>
    <w:rsid w:val="00C66DCF"/>
    <w:rsid w:val="00C71343"/>
    <w:rsid w:val="00C76DF9"/>
    <w:rsid w:val="00C86D2E"/>
    <w:rsid w:val="00C948C6"/>
    <w:rsid w:val="00C97AA2"/>
    <w:rsid w:val="00CA0A14"/>
    <w:rsid w:val="00CA27E8"/>
    <w:rsid w:val="00CC1087"/>
    <w:rsid w:val="00CD7F5C"/>
    <w:rsid w:val="00CE0A98"/>
    <w:rsid w:val="00CE3F2F"/>
    <w:rsid w:val="00CF26DD"/>
    <w:rsid w:val="00CF41E8"/>
    <w:rsid w:val="00D147B6"/>
    <w:rsid w:val="00D14BBA"/>
    <w:rsid w:val="00D250C9"/>
    <w:rsid w:val="00D34AD2"/>
    <w:rsid w:val="00D45FAC"/>
    <w:rsid w:val="00D5753E"/>
    <w:rsid w:val="00D82C9A"/>
    <w:rsid w:val="00D86594"/>
    <w:rsid w:val="00D913E6"/>
    <w:rsid w:val="00D91F39"/>
    <w:rsid w:val="00D9419B"/>
    <w:rsid w:val="00DB070C"/>
    <w:rsid w:val="00DD0587"/>
    <w:rsid w:val="00DD34D0"/>
    <w:rsid w:val="00DE161B"/>
    <w:rsid w:val="00DE40F7"/>
    <w:rsid w:val="00DE6DAC"/>
    <w:rsid w:val="00DF3833"/>
    <w:rsid w:val="00E07FC8"/>
    <w:rsid w:val="00E129CF"/>
    <w:rsid w:val="00E33E6C"/>
    <w:rsid w:val="00E46043"/>
    <w:rsid w:val="00E47295"/>
    <w:rsid w:val="00E91017"/>
    <w:rsid w:val="00E943F8"/>
    <w:rsid w:val="00EB5173"/>
    <w:rsid w:val="00EB6B52"/>
    <w:rsid w:val="00EC1210"/>
    <w:rsid w:val="00F10B2E"/>
    <w:rsid w:val="00F1173A"/>
    <w:rsid w:val="00F13B0A"/>
    <w:rsid w:val="00F25166"/>
    <w:rsid w:val="00F301A3"/>
    <w:rsid w:val="00F43F9F"/>
    <w:rsid w:val="00F53F73"/>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147B6"/>
    <w:rPr>
      <w:sz w:val="16"/>
      <w:szCs w:val="16"/>
    </w:rPr>
  </w:style>
  <w:style w:type="paragraph" w:styleId="CommentText">
    <w:name w:val="annotation text"/>
    <w:basedOn w:val="Normal"/>
    <w:link w:val="CommentTextChar"/>
    <w:uiPriority w:val="99"/>
    <w:rsid w:val="00D147B6"/>
    <w:rPr>
      <w:sz w:val="20"/>
    </w:rPr>
  </w:style>
  <w:style w:type="character" w:customStyle="1" w:styleId="CommentTextChar">
    <w:name w:val="Comment Text Char"/>
    <w:basedOn w:val="DefaultParagraphFont"/>
    <w:link w:val="CommentText"/>
    <w:uiPriority w:val="99"/>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B3F54"/>
    <w:pPr>
      <w:widowControl w:val="0"/>
      <w:autoSpaceDE w:val="0"/>
      <w:autoSpaceDN w:val="0"/>
      <w:ind w:left="107"/>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B7DA6FD083F43B7D63BAAEB2FB320" ma:contentTypeVersion="6" ma:contentTypeDescription="Create a new document." ma:contentTypeScope="" ma:versionID="17fb142573fa481140824407dd41fb1d">
  <xsd:schema xmlns:xsd="http://www.w3.org/2001/XMLSchema" xmlns:xs="http://www.w3.org/2001/XMLSchema" xmlns:p="http://schemas.microsoft.com/office/2006/metadata/properties" xmlns:ns2="9451aaa3-887e-4d73-925f-de86a032b5a3" xmlns:ns3="187afec7-3418-4677-98ee-e814e34851b2" targetNamespace="http://schemas.microsoft.com/office/2006/metadata/properties" ma:root="true" ma:fieldsID="117a72e45a89b03f928a5a02c6452680" ns2:_="" ns3:_="">
    <xsd:import namespace="9451aaa3-887e-4d73-925f-de86a032b5a3"/>
    <xsd:import namespace="187afec7-3418-4677-98ee-e814e34851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1aaa3-887e-4d73-925f-de86a032b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afec7-3418-4677-98ee-e814e3485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7afec7-3418-4677-98ee-e814e34851b2">
      <UserInfo>
        <DisplayName>Tony Challinor</DisplayName>
        <AccountId>6</AccountId>
        <AccountType/>
      </UserInfo>
    </SharedWithUsers>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5C5503B-0925-4A34-B5BF-8D37512F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1aaa3-887e-4d73-925f-de86a032b5a3"/>
    <ds:schemaRef ds:uri="187afec7-3418-4677-98ee-e814e3485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187afec7-3418-4677-98ee-e814e34851b2"/>
    <ds:schemaRef ds:uri="9451aaa3-887e-4d73-925f-de86a032b5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909</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Tony Challinor</cp:lastModifiedBy>
  <cp:revision>4</cp:revision>
  <cp:lastPrinted>2015-11-11T15:51:00Z</cp:lastPrinted>
  <dcterms:created xsi:type="dcterms:W3CDTF">2023-01-03T12:55:00Z</dcterms:created>
  <dcterms:modified xsi:type="dcterms:W3CDTF">2023-01-03T12:59:00Z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0x010100E5AB7DA6FD083F43B7D63BAAEB2FB320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