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5"/>
      </w:tblGrid>
      <w:tr w:rsidR="00705DB6" w14:paraId="6D4FBF2A" w14:textId="77777777" w:rsidTr="00705DB6">
        <w:tc>
          <w:tcPr>
            <w:tcW w:w="9345" w:type="dxa"/>
          </w:tcPr>
          <w:p w14:paraId="276598A8" w14:textId="77777777" w:rsidR="00705DB6" w:rsidRDefault="00705DB6" w:rsidP="00705DB6">
            <w:pPr>
              <w:rPr>
                <w:rFonts w:asciiTheme="minorHAnsi" w:hAnsiTheme="minorHAnsi" w:cstheme="minorHAnsi"/>
                <w:sz w:val="22"/>
                <w:szCs w:val="22"/>
              </w:rPr>
            </w:pPr>
            <w:r w:rsidRPr="00E60953">
              <w:rPr>
                <w:rFonts w:asciiTheme="minorHAnsi" w:hAnsiTheme="minorHAnsi" w:cstheme="minorHAnsi"/>
                <w:sz w:val="22"/>
                <w:szCs w:val="22"/>
              </w:rPr>
              <w:t xml:space="preserve">To meet the budget gap this financial year </w:t>
            </w:r>
            <w:proofErr w:type="gramStart"/>
            <w:r w:rsidRPr="00E60953">
              <w:rPr>
                <w:rFonts w:asciiTheme="minorHAnsi" w:hAnsiTheme="minorHAnsi" w:cstheme="minorHAnsi"/>
                <w:sz w:val="22"/>
                <w:szCs w:val="22"/>
              </w:rPr>
              <w:t>a number of</w:t>
            </w:r>
            <w:proofErr w:type="gramEnd"/>
            <w:r w:rsidRPr="00E60953">
              <w:rPr>
                <w:rFonts w:asciiTheme="minorHAnsi" w:hAnsiTheme="minorHAnsi" w:cstheme="minorHAnsi"/>
                <w:sz w:val="22"/>
                <w:szCs w:val="22"/>
              </w:rPr>
              <w:t xml:space="preserve"> additional spending control measures are currently in place.  </w:t>
            </w:r>
          </w:p>
          <w:p w14:paraId="7F9E3C2B" w14:textId="77777777" w:rsidR="00705DB6" w:rsidRDefault="00705DB6" w:rsidP="00705DB6">
            <w:pPr>
              <w:rPr>
                <w:rFonts w:asciiTheme="minorHAnsi" w:hAnsiTheme="minorHAnsi" w:cstheme="minorHAnsi"/>
                <w:sz w:val="22"/>
                <w:szCs w:val="22"/>
              </w:rPr>
            </w:pPr>
          </w:p>
          <w:p w14:paraId="74774756" w14:textId="77777777" w:rsidR="00705DB6" w:rsidRDefault="00705DB6" w:rsidP="00705DB6">
            <w:pPr>
              <w:rPr>
                <w:rFonts w:asciiTheme="minorHAnsi" w:hAnsiTheme="minorHAnsi" w:cstheme="minorHAnsi"/>
                <w:sz w:val="22"/>
                <w:szCs w:val="22"/>
              </w:rPr>
            </w:pPr>
            <w:r>
              <w:rPr>
                <w:rFonts w:asciiTheme="minorHAnsi" w:hAnsiTheme="minorHAnsi" w:cstheme="minorHAnsi"/>
                <w:sz w:val="22"/>
                <w:szCs w:val="22"/>
              </w:rPr>
              <w:t xml:space="preserve">We are not currently evaluating or re-evaluating any roles unless the Executive Director agrees that there is an exceptional reason to do so e.g. to address the risk of an equal pay issue.  </w:t>
            </w:r>
          </w:p>
          <w:p w14:paraId="1EF8A90D" w14:textId="77777777" w:rsidR="00705DB6" w:rsidRDefault="00705DB6" w:rsidP="00705DB6">
            <w:pPr>
              <w:rPr>
                <w:rFonts w:asciiTheme="minorHAnsi" w:hAnsiTheme="minorHAnsi" w:cstheme="minorHAnsi"/>
                <w:sz w:val="22"/>
                <w:szCs w:val="22"/>
              </w:rPr>
            </w:pPr>
          </w:p>
          <w:p w14:paraId="447A2679" w14:textId="77777777" w:rsidR="00705DB6" w:rsidRDefault="00705DB6" w:rsidP="00705DB6">
            <w:pPr>
              <w:rPr>
                <w:rFonts w:asciiTheme="minorHAnsi" w:hAnsiTheme="minorHAnsi" w:cstheme="minorHAnsi"/>
                <w:sz w:val="22"/>
                <w:szCs w:val="22"/>
              </w:rPr>
            </w:pPr>
            <w:r>
              <w:rPr>
                <w:rFonts w:asciiTheme="minorHAnsi" w:hAnsiTheme="minorHAnsi" w:cstheme="minorHAnsi"/>
                <w:sz w:val="22"/>
                <w:szCs w:val="22"/>
              </w:rPr>
              <w:t xml:space="preserve">Where the Executive Director agrees that these is an exceptional reason to go ahead the JDQ must </w:t>
            </w:r>
            <w:r w:rsidRPr="00EE5064">
              <w:rPr>
                <w:rFonts w:asciiTheme="minorHAnsi" w:hAnsiTheme="minorHAnsi" w:cstheme="minorHAnsi"/>
                <w:sz w:val="22"/>
                <w:szCs w:val="22"/>
              </w:rPr>
              <w:t xml:space="preserve">be submitted to monthly Workforce Expenditure Control Panel (chaired by the Chief Executive, Service Director – Human Resources and another member of the Corporate Leadership Team).  </w:t>
            </w:r>
          </w:p>
          <w:p w14:paraId="1D22C621" w14:textId="77777777" w:rsidR="00705DB6" w:rsidRDefault="00705DB6" w:rsidP="00705DB6">
            <w:pPr>
              <w:rPr>
                <w:rFonts w:asciiTheme="minorHAnsi" w:hAnsiTheme="minorHAnsi" w:cstheme="minorHAnsi"/>
                <w:sz w:val="22"/>
                <w:szCs w:val="22"/>
              </w:rPr>
            </w:pPr>
          </w:p>
          <w:p w14:paraId="5A178F1E" w14:textId="77777777" w:rsidR="00705DB6" w:rsidRDefault="00705DB6" w:rsidP="00705DB6">
            <w:pPr>
              <w:rPr>
                <w:rStyle w:val="normaltextrun"/>
                <w:rFonts w:ascii="Calibri" w:hAnsi="Calibri" w:cs="Calibri"/>
                <w:color w:val="000000"/>
                <w:sz w:val="22"/>
                <w:szCs w:val="22"/>
                <w:shd w:val="clear" w:color="auto" w:fill="FFFFFF"/>
              </w:rPr>
            </w:pPr>
            <w:r w:rsidRPr="00EE5064">
              <w:rPr>
                <w:rFonts w:asciiTheme="minorHAnsi" w:hAnsiTheme="minorHAnsi" w:cstheme="minorHAnsi"/>
                <w:sz w:val="22"/>
                <w:szCs w:val="22"/>
              </w:rPr>
              <w:t xml:space="preserve">The JDQ needs to be emailed to </w:t>
            </w:r>
            <w:hyperlink r:id="rId11" w:tgtFrame="_blank" w:history="1">
              <w:r>
                <w:rPr>
                  <w:rStyle w:val="normaltextrun"/>
                  <w:rFonts w:ascii="Calibri" w:hAnsi="Calibri" w:cs="Calibri"/>
                  <w:b/>
                  <w:bCs/>
                  <w:color w:val="0563C1"/>
                  <w:sz w:val="22"/>
                  <w:szCs w:val="22"/>
                  <w:u w:val="single"/>
                  <w:shd w:val="clear" w:color="auto" w:fill="FFFFFF"/>
                </w:rPr>
                <w:t>vacancy.authorisation@cambridgeshire.gov.uk</w:t>
              </w:r>
            </w:hyperlink>
            <w:r>
              <w:rPr>
                <w:rStyle w:val="normaltextrun"/>
                <w:rFonts w:ascii="Calibri" w:hAnsi="Calibri" w:cs="Calibri"/>
                <w:b/>
                <w:bCs/>
                <w:color w:val="000000"/>
                <w:sz w:val="22"/>
                <w:szCs w:val="22"/>
                <w:shd w:val="clear" w:color="auto" w:fill="FFFFFF"/>
              </w:rPr>
              <w:t> </w:t>
            </w:r>
            <w:r w:rsidRPr="00EE5064">
              <w:rPr>
                <w:rFonts w:asciiTheme="minorHAnsi" w:hAnsiTheme="minorHAnsi" w:cstheme="minorHAnsi"/>
                <w:sz w:val="22"/>
                <w:szCs w:val="22"/>
              </w:rPr>
              <w:t xml:space="preserve">prior to the </w:t>
            </w:r>
            <w:hyperlink r:id="rId12" w:history="1">
              <w:r w:rsidRPr="00EE5064">
                <w:rPr>
                  <w:rStyle w:val="Hyperlink"/>
                  <w:rFonts w:asciiTheme="minorHAnsi" w:hAnsiTheme="minorHAnsi" w:cstheme="minorHAnsi"/>
                  <w:sz w:val="22"/>
                  <w:szCs w:val="22"/>
                </w:rPr>
                <w:t>Workforce expenditure control panel submissions dates</w:t>
              </w:r>
            </w:hyperlink>
            <w:r>
              <w:rPr>
                <w:rFonts w:asciiTheme="minorHAnsi" w:hAnsiTheme="minorHAnsi" w:cstheme="minorHAnsi"/>
                <w:sz w:val="22"/>
                <w:szCs w:val="22"/>
              </w:rPr>
              <w:t xml:space="preserve">.   </w:t>
            </w:r>
            <w:r>
              <w:rPr>
                <w:rStyle w:val="normaltextrun"/>
                <w:rFonts w:ascii="Calibri" w:hAnsi="Calibri" w:cs="Calibri"/>
                <w:color w:val="000000"/>
                <w:sz w:val="22"/>
                <w:szCs w:val="22"/>
                <w:shd w:val="clear" w:color="auto" w:fill="FFFFFF"/>
              </w:rPr>
              <w:t xml:space="preserve">Forms received after the monthly deadline will be considered at the following month’s panel.  </w:t>
            </w:r>
          </w:p>
          <w:p w14:paraId="54DA5567" w14:textId="77777777" w:rsidR="00705DB6" w:rsidRDefault="00705DB6" w:rsidP="00705DB6">
            <w:pPr>
              <w:rPr>
                <w:rStyle w:val="normaltextrun"/>
                <w:rFonts w:ascii="Calibri" w:hAnsi="Calibri" w:cs="Calibri"/>
                <w:color w:val="000000"/>
                <w:sz w:val="22"/>
                <w:szCs w:val="22"/>
                <w:shd w:val="clear" w:color="auto" w:fill="FFFFFF"/>
              </w:rPr>
            </w:pPr>
          </w:p>
          <w:p w14:paraId="4501B37E" w14:textId="63A2E929" w:rsidR="00705DB6" w:rsidRPr="00705DB6" w:rsidRDefault="00705DB6" w:rsidP="00705DB6">
            <w:pPr>
              <w:rPr>
                <w:rFonts w:asciiTheme="minorHAnsi" w:hAnsiTheme="minorHAnsi" w:cstheme="minorHAnsi"/>
                <w:sz w:val="22"/>
                <w:szCs w:val="22"/>
              </w:rPr>
            </w:pPr>
            <w:r>
              <w:rPr>
                <w:rStyle w:val="normaltextrun"/>
                <w:rFonts w:ascii="Calibri" w:hAnsi="Calibri" w:cs="Calibri"/>
                <w:color w:val="000000"/>
                <w:sz w:val="22"/>
                <w:szCs w:val="22"/>
                <w:shd w:val="clear" w:color="auto" w:fill="FFFFFF"/>
              </w:rPr>
              <w:t>You must not book a role in for job evaluation/re-evaluation until panel approval has been given. </w:t>
            </w:r>
          </w:p>
        </w:tc>
      </w:tr>
    </w:tbl>
    <w:p w14:paraId="65A31BCE" w14:textId="705890D8" w:rsidR="00EF38BC" w:rsidRPr="00600363" w:rsidRDefault="00746CB6" w:rsidP="009D72C4">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63006461"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9055EA">
              <w:rPr>
                <w:rFonts w:asciiTheme="minorHAnsi" w:hAnsiTheme="minorHAnsi" w:cstheme="minorHAnsi"/>
                <w:sz w:val="22"/>
                <w:szCs w:val="22"/>
              </w:rPr>
              <w:t xml:space="preserve"> Pavement Engineer</w:t>
            </w:r>
          </w:p>
        </w:tc>
      </w:tr>
      <w:tr w:rsidR="00A804DD" w:rsidRPr="00600363" w14:paraId="6CB9CB92" w14:textId="77777777" w:rsidTr="00BF63E2">
        <w:tc>
          <w:tcPr>
            <w:tcW w:w="5000" w:type="pct"/>
            <w:vAlign w:val="center"/>
          </w:tcPr>
          <w:p w14:paraId="39EDA403" w14:textId="656EAC4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9055EA">
              <w:rPr>
                <w:rFonts w:asciiTheme="minorHAnsi" w:hAnsiTheme="minorHAnsi" w:cstheme="minorHAnsi"/>
                <w:sz w:val="22"/>
                <w:szCs w:val="22"/>
              </w:rPr>
              <w:t xml:space="preserve"> </w:t>
            </w:r>
            <w:r w:rsidR="002A39AE" w:rsidRPr="002A39AE">
              <w:rPr>
                <w:rFonts w:asciiTheme="minorHAnsi" w:hAnsiTheme="minorHAnsi" w:cstheme="minorHAnsi"/>
                <w:sz w:val="22"/>
                <w:szCs w:val="22"/>
              </w:rPr>
              <w:t>CCC2964</w:t>
            </w:r>
          </w:p>
        </w:tc>
      </w:tr>
      <w:tr w:rsidR="00A804DD" w:rsidRPr="00600363" w14:paraId="0DC02656" w14:textId="77777777" w:rsidTr="00BF63E2">
        <w:tc>
          <w:tcPr>
            <w:tcW w:w="5000" w:type="pct"/>
            <w:vAlign w:val="center"/>
          </w:tcPr>
          <w:p w14:paraId="2203FAFB" w14:textId="7A69135D"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9055EA">
              <w:rPr>
                <w:rFonts w:asciiTheme="minorHAnsi" w:hAnsiTheme="minorHAnsi" w:cstheme="minorHAnsi"/>
                <w:bCs/>
                <w:sz w:val="22"/>
                <w:szCs w:val="22"/>
              </w:rPr>
              <w:t xml:space="preserve"> P3</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70E7F949" w14:textId="29A70337" w:rsidR="000F6D46" w:rsidRDefault="000F6D46" w:rsidP="00746CB6">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The purpose of the Pavement Engineer role is ultimately to safeguard the County Council’s ongoing liability and financial burdens in respect to highway maintenance, and to ensure the long-term integrity of infrastructure such that future network disruptions are minimised and safety risks avoided. </w:t>
      </w:r>
    </w:p>
    <w:p w14:paraId="4D7BEF4B" w14:textId="77777777" w:rsidR="000F6D46" w:rsidRDefault="000F6D46" w:rsidP="00746CB6">
      <w:pPr>
        <w:tabs>
          <w:tab w:val="left" w:pos="-720"/>
          <w:tab w:val="left" w:pos="0"/>
        </w:tabs>
        <w:suppressAutoHyphens/>
        <w:rPr>
          <w:rFonts w:asciiTheme="minorHAnsi" w:hAnsiTheme="minorHAnsi" w:cstheme="minorHAnsi"/>
          <w:spacing w:val="-2"/>
          <w:sz w:val="22"/>
          <w:szCs w:val="22"/>
        </w:rPr>
      </w:pPr>
    </w:p>
    <w:p w14:paraId="2EBC8B7E" w14:textId="0536216D" w:rsidR="000F6D46" w:rsidRDefault="000F6D46" w:rsidP="00746CB6">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The post holder would input into the design of new or modified infrastructure across the County’s variable underlying ground condition, building on lessons learned and ensuring designs are reflective of site-specific risks and are informed by emerging best practices. </w:t>
      </w:r>
    </w:p>
    <w:p w14:paraId="135E812B" w14:textId="77777777" w:rsidR="000F6D46" w:rsidRDefault="000F6D46" w:rsidP="00746CB6">
      <w:pPr>
        <w:tabs>
          <w:tab w:val="left" w:pos="-720"/>
          <w:tab w:val="left" w:pos="0"/>
        </w:tabs>
        <w:suppressAutoHyphens/>
        <w:rPr>
          <w:rFonts w:asciiTheme="minorHAnsi" w:hAnsiTheme="minorHAnsi" w:cstheme="minorHAnsi"/>
          <w:spacing w:val="-2"/>
          <w:sz w:val="22"/>
          <w:szCs w:val="22"/>
        </w:rPr>
      </w:pPr>
    </w:p>
    <w:p w14:paraId="5C858264" w14:textId="5162C4E5" w:rsidR="00746CB6" w:rsidRPr="00DB29DC" w:rsidRDefault="000F6D46" w:rsidP="00746CB6">
      <w:p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In addition to the design of new infrastructure, the Pavement Engineer will support highway maintenance functions, both in relation to reactive repairs and capital improvements of the network, ensuring that the Council’s financial investment remains effective for years to come, thus reducing the quantum of future defects. </w:t>
      </w: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10C87903" w14:textId="215BFD3B" w:rsidR="00064EC4" w:rsidRDefault="009055EA" w:rsidP="004E55EA">
            <w:pPr>
              <w:pStyle w:val="Header"/>
              <w:tabs>
                <w:tab w:val="clear" w:pos="4153"/>
                <w:tab w:val="clear" w:pos="8306"/>
              </w:tabs>
              <w:rPr>
                <w:rFonts w:asciiTheme="minorHAnsi" w:hAnsiTheme="minorHAnsi" w:cstheme="minorHAnsi"/>
                <w:sz w:val="22"/>
                <w:szCs w:val="22"/>
                <w:u w:val="single"/>
              </w:rPr>
            </w:pPr>
            <w:r>
              <w:rPr>
                <w:rFonts w:asciiTheme="minorHAnsi" w:hAnsiTheme="minorHAnsi" w:cstheme="minorHAnsi"/>
                <w:sz w:val="22"/>
                <w:szCs w:val="22"/>
                <w:u w:val="single"/>
              </w:rPr>
              <w:t>Expert advice</w:t>
            </w:r>
          </w:p>
          <w:p w14:paraId="6744A5EF" w14:textId="49F8C22C" w:rsidR="009055EA" w:rsidRPr="009055EA" w:rsidRDefault="009055EA" w:rsidP="004E55EA">
            <w:pPr>
              <w:pStyle w:val="Header"/>
              <w:tabs>
                <w:tab w:val="clear" w:pos="4153"/>
                <w:tab w:val="clear" w:pos="8306"/>
              </w:tabs>
              <w:rPr>
                <w:rFonts w:asciiTheme="minorHAnsi" w:hAnsiTheme="minorHAnsi" w:cstheme="minorHAnsi"/>
                <w:sz w:val="22"/>
                <w:szCs w:val="22"/>
              </w:rPr>
            </w:pPr>
          </w:p>
          <w:p w14:paraId="75D73291" w14:textId="56654E3B" w:rsidR="00064EC4" w:rsidRDefault="007944D2" w:rsidP="004E55EA">
            <w:pPr>
              <w:pStyle w:val="Header"/>
              <w:tabs>
                <w:tab w:val="clear" w:pos="4153"/>
                <w:tab w:val="clear" w:pos="8306"/>
              </w:tabs>
              <w:rPr>
                <w:rFonts w:asciiTheme="minorHAnsi" w:hAnsiTheme="minorHAnsi" w:cstheme="minorBidi"/>
                <w:sz w:val="22"/>
                <w:szCs w:val="22"/>
              </w:rPr>
            </w:pPr>
            <w:r w:rsidRPr="36F19A10">
              <w:rPr>
                <w:rFonts w:asciiTheme="minorHAnsi" w:hAnsiTheme="minorHAnsi" w:cstheme="minorBidi"/>
                <w:sz w:val="22"/>
                <w:szCs w:val="22"/>
              </w:rPr>
              <w:t>Be the subject matter expert and p</w:t>
            </w:r>
            <w:r w:rsidR="000F6D46" w:rsidRPr="36F19A10">
              <w:rPr>
                <w:rFonts w:asciiTheme="minorHAnsi" w:hAnsiTheme="minorHAnsi" w:cstheme="minorBidi"/>
                <w:sz w:val="22"/>
                <w:szCs w:val="22"/>
              </w:rPr>
              <w:t xml:space="preserve">rovide advice to internal teams who are responsible for the design and implementation of new highway infrastructure, both CCC funded projects and third-party works </w:t>
            </w:r>
            <w:r w:rsidR="001064E7" w:rsidRPr="36F19A10">
              <w:rPr>
                <w:rFonts w:asciiTheme="minorHAnsi" w:hAnsiTheme="minorHAnsi" w:cstheme="minorBidi"/>
                <w:sz w:val="22"/>
                <w:szCs w:val="22"/>
              </w:rPr>
              <w:t xml:space="preserve">i.e., development related infrastructure. The post holder will work closely with various internal teams such as Highways Development Management, Complex Infrastructure, Capital Maintenance, Area Maintenance (reactive highway works), Local Projects and S106 Project Delivery. </w:t>
            </w:r>
          </w:p>
          <w:p w14:paraId="7F7A66A1" w14:textId="77777777" w:rsidR="001064E7" w:rsidRDefault="001064E7" w:rsidP="004E55EA">
            <w:pPr>
              <w:pStyle w:val="Header"/>
              <w:tabs>
                <w:tab w:val="clear" w:pos="4153"/>
                <w:tab w:val="clear" w:pos="8306"/>
              </w:tabs>
              <w:rPr>
                <w:rFonts w:asciiTheme="minorHAnsi" w:hAnsiTheme="minorHAnsi" w:cstheme="minorHAnsi"/>
                <w:sz w:val="22"/>
                <w:szCs w:val="22"/>
              </w:rPr>
            </w:pPr>
          </w:p>
          <w:p w14:paraId="057EF413" w14:textId="438A79CE" w:rsidR="001064E7" w:rsidRDefault="001064E7" w:rsidP="004E55EA">
            <w:pPr>
              <w:pStyle w:val="Header"/>
              <w:tabs>
                <w:tab w:val="clear" w:pos="4153"/>
                <w:tab w:val="clear" w:pos="8306"/>
              </w:tabs>
              <w:rPr>
                <w:rFonts w:asciiTheme="minorHAnsi" w:hAnsiTheme="minorHAnsi" w:cstheme="minorBidi"/>
                <w:sz w:val="22"/>
                <w:szCs w:val="22"/>
              </w:rPr>
            </w:pPr>
            <w:r w:rsidRPr="36F19A10">
              <w:rPr>
                <w:rFonts w:asciiTheme="minorHAnsi" w:hAnsiTheme="minorHAnsi" w:cstheme="minorBidi"/>
                <w:sz w:val="22"/>
                <w:szCs w:val="22"/>
              </w:rPr>
              <w:t>Advice will relate to asphalt mixes,</w:t>
            </w:r>
            <w:r w:rsidR="005874A0" w:rsidRPr="36F19A10">
              <w:rPr>
                <w:rFonts w:asciiTheme="minorHAnsi" w:hAnsiTheme="minorHAnsi" w:cstheme="minorBidi"/>
                <w:sz w:val="22"/>
                <w:szCs w:val="22"/>
              </w:rPr>
              <w:t xml:space="preserve"> preventative treatments,</w:t>
            </w:r>
            <w:r w:rsidRPr="36F19A10">
              <w:rPr>
                <w:rFonts w:asciiTheme="minorHAnsi" w:hAnsiTheme="minorHAnsi" w:cstheme="minorBidi"/>
                <w:sz w:val="22"/>
                <w:szCs w:val="22"/>
              </w:rPr>
              <w:t xml:space="preserve"> granular fill, pavement specification, laying methods, soil stabilisation, road recycling, earthworks compaction, storage and re-use of site won materials and ground investigation (not an exhaustive list). </w:t>
            </w:r>
          </w:p>
          <w:p w14:paraId="642AB3F8" w14:textId="77777777" w:rsidR="001064E7" w:rsidRDefault="001064E7" w:rsidP="004E55EA">
            <w:pPr>
              <w:pStyle w:val="Header"/>
              <w:tabs>
                <w:tab w:val="clear" w:pos="4153"/>
                <w:tab w:val="clear" w:pos="8306"/>
              </w:tabs>
              <w:rPr>
                <w:rFonts w:asciiTheme="minorHAnsi" w:hAnsiTheme="minorHAnsi" w:cstheme="minorHAnsi"/>
                <w:sz w:val="22"/>
                <w:szCs w:val="22"/>
              </w:rPr>
            </w:pPr>
          </w:p>
          <w:p w14:paraId="07228164" w14:textId="4D421585" w:rsidR="000F6D46" w:rsidRPr="005319FB" w:rsidRDefault="001064E7" w:rsidP="004E55EA">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lastRenderedPageBreak/>
              <w:t xml:space="preserve">The post holder will need to stay up to date on industry knowledge and will be required to undertake research on occasion, drawing in knowledge from professional institutions, academic literature, manufacturer declarations and case studies. </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4D1D741" w14:textId="20664241" w:rsidR="00064EC4" w:rsidRPr="009055EA" w:rsidRDefault="009055EA" w:rsidP="004E55EA">
            <w:pPr>
              <w:pStyle w:val="Header"/>
              <w:tabs>
                <w:tab w:val="clear" w:pos="4153"/>
                <w:tab w:val="clear" w:pos="8306"/>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 xml:space="preserve">Investigating </w:t>
            </w:r>
            <w:r w:rsidR="001C5FEC">
              <w:rPr>
                <w:rFonts w:asciiTheme="minorHAnsi" w:hAnsiTheme="minorHAnsi" w:cstheme="minorHAnsi"/>
                <w:bCs/>
                <w:sz w:val="22"/>
                <w:szCs w:val="22"/>
                <w:u w:val="single"/>
              </w:rPr>
              <w:t>construction</w:t>
            </w:r>
            <w:r>
              <w:rPr>
                <w:rFonts w:asciiTheme="minorHAnsi" w:hAnsiTheme="minorHAnsi" w:cstheme="minorHAnsi"/>
                <w:bCs/>
                <w:sz w:val="22"/>
                <w:szCs w:val="22"/>
                <w:u w:val="single"/>
              </w:rPr>
              <w:t xml:space="preserve"> failures</w:t>
            </w:r>
          </w:p>
          <w:p w14:paraId="513B82B9" w14:textId="77777777" w:rsidR="00064EC4" w:rsidRDefault="00064EC4" w:rsidP="004E55EA">
            <w:pPr>
              <w:pStyle w:val="Header"/>
              <w:tabs>
                <w:tab w:val="clear" w:pos="4153"/>
                <w:tab w:val="clear" w:pos="8306"/>
                <w:tab w:val="left" w:pos="709"/>
              </w:tabs>
              <w:rPr>
                <w:rFonts w:asciiTheme="minorHAnsi" w:hAnsiTheme="minorHAnsi" w:cstheme="minorHAnsi"/>
                <w:bCs/>
                <w:sz w:val="22"/>
                <w:szCs w:val="22"/>
              </w:rPr>
            </w:pPr>
          </w:p>
          <w:p w14:paraId="730BBE4F" w14:textId="42922F52" w:rsidR="001064E7" w:rsidRDefault="00BA7A58" w:rsidP="004E55EA">
            <w:pPr>
              <w:pStyle w:val="Header"/>
              <w:tabs>
                <w:tab w:val="clear" w:pos="4153"/>
                <w:tab w:val="clear" w:pos="8306"/>
                <w:tab w:val="left" w:pos="709"/>
              </w:tabs>
              <w:rPr>
                <w:rFonts w:asciiTheme="minorHAnsi" w:hAnsiTheme="minorHAnsi" w:cstheme="minorBidi"/>
                <w:sz w:val="22"/>
                <w:szCs w:val="22"/>
              </w:rPr>
            </w:pPr>
            <w:r w:rsidRPr="36F19A10">
              <w:rPr>
                <w:rFonts w:asciiTheme="minorHAnsi" w:hAnsiTheme="minorHAnsi" w:cstheme="minorBidi"/>
                <w:sz w:val="22"/>
                <w:szCs w:val="22"/>
              </w:rPr>
              <w:t xml:space="preserve">Where </w:t>
            </w:r>
            <w:r w:rsidR="001C5FEC" w:rsidRPr="36F19A10">
              <w:rPr>
                <w:rFonts w:asciiTheme="minorHAnsi" w:hAnsiTheme="minorHAnsi" w:cstheme="minorBidi"/>
                <w:sz w:val="22"/>
                <w:szCs w:val="22"/>
              </w:rPr>
              <w:t>construction</w:t>
            </w:r>
            <w:r w:rsidRPr="36F19A10">
              <w:rPr>
                <w:rFonts w:asciiTheme="minorHAnsi" w:hAnsiTheme="minorHAnsi" w:cstheme="minorBidi"/>
                <w:sz w:val="22"/>
                <w:szCs w:val="22"/>
              </w:rPr>
              <w:t xml:space="preserve"> failures occur on new infrastructure, the post holder will assist the developer and / or contractor with the identification of the underlying causes, which may require the direction of lab-based testing. Once the cause of the failure is known, the post holder will represent the Council’s long-term interests in advising on a suitable mitigation package which will need to be complete</w:t>
            </w:r>
            <w:r w:rsidR="00CA2774" w:rsidRPr="36F19A10">
              <w:rPr>
                <w:rFonts w:asciiTheme="minorHAnsi" w:hAnsiTheme="minorHAnsi" w:cstheme="minorBidi"/>
                <w:sz w:val="22"/>
                <w:szCs w:val="22"/>
              </w:rPr>
              <w:t>d</w:t>
            </w:r>
            <w:r w:rsidRPr="36F19A10">
              <w:rPr>
                <w:rFonts w:asciiTheme="minorHAnsi" w:hAnsiTheme="minorHAnsi" w:cstheme="minorBidi"/>
                <w:sz w:val="22"/>
                <w:szCs w:val="22"/>
              </w:rPr>
              <w:t xml:space="preserve"> prior to maintenance responsibilities defaulting back to the Council.</w:t>
            </w:r>
          </w:p>
          <w:p w14:paraId="511D594E" w14:textId="77777777" w:rsidR="00BA7A58" w:rsidRDefault="00BA7A58" w:rsidP="004E55EA">
            <w:pPr>
              <w:pStyle w:val="Header"/>
              <w:tabs>
                <w:tab w:val="clear" w:pos="4153"/>
                <w:tab w:val="clear" w:pos="8306"/>
                <w:tab w:val="left" w:pos="709"/>
              </w:tabs>
              <w:rPr>
                <w:rFonts w:asciiTheme="minorHAnsi" w:hAnsiTheme="minorHAnsi" w:cstheme="minorHAnsi"/>
                <w:bCs/>
                <w:sz w:val="22"/>
                <w:szCs w:val="22"/>
              </w:rPr>
            </w:pPr>
          </w:p>
          <w:p w14:paraId="598CEF45" w14:textId="1C7801E3" w:rsidR="00BA7A58" w:rsidRDefault="00BA7A58" w:rsidP="004E55EA">
            <w:pPr>
              <w:pStyle w:val="Heade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 xml:space="preserve">Where the existing highway networks is subject to underlying failures, the post holder will work closely with the responsible internal project team to identify the cause and advise on a suitable reinstatement plan. </w:t>
            </w:r>
          </w:p>
          <w:p w14:paraId="00F8A520" w14:textId="77777777" w:rsidR="00BA7A58" w:rsidRDefault="00BA7A58" w:rsidP="004E55EA">
            <w:pPr>
              <w:pStyle w:val="Header"/>
              <w:tabs>
                <w:tab w:val="clear" w:pos="4153"/>
                <w:tab w:val="clear" w:pos="8306"/>
                <w:tab w:val="left" w:pos="709"/>
              </w:tabs>
              <w:rPr>
                <w:rFonts w:asciiTheme="minorHAnsi" w:hAnsiTheme="minorHAnsi" w:cstheme="minorHAnsi"/>
                <w:bCs/>
                <w:sz w:val="22"/>
                <w:szCs w:val="22"/>
              </w:rPr>
            </w:pPr>
          </w:p>
          <w:p w14:paraId="76D80391" w14:textId="154F6D19" w:rsidR="00BA7A58" w:rsidRPr="005319FB" w:rsidRDefault="00BA7A58" w:rsidP="004E55EA">
            <w:pPr>
              <w:pStyle w:val="Header"/>
              <w:tabs>
                <w:tab w:val="clear" w:pos="4153"/>
                <w:tab w:val="clear" w:pos="8306"/>
                <w:tab w:val="left" w:pos="709"/>
              </w:tabs>
              <w:rPr>
                <w:rFonts w:asciiTheme="minorHAnsi" w:hAnsiTheme="minorHAnsi" w:cstheme="minorHAnsi"/>
                <w:bCs/>
                <w:sz w:val="22"/>
                <w:szCs w:val="22"/>
              </w:rPr>
            </w:pPr>
            <w:r>
              <w:rPr>
                <w:rFonts w:asciiTheme="minorHAnsi" w:hAnsiTheme="minorHAnsi" w:cstheme="minorHAnsi"/>
                <w:bCs/>
                <w:sz w:val="22"/>
                <w:szCs w:val="22"/>
              </w:rPr>
              <w:t>Examples of failures include, but are not limited to asphalt heaving, settlement / subsidence, longitudinal undulation, surface course cracking, opening of joints, delamination of asphalt layers etc.</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125C559" w14:textId="16FFD646" w:rsidR="00064EC4" w:rsidRPr="009055EA"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Maintain approved supplier lists</w:t>
            </w:r>
          </w:p>
          <w:p w14:paraId="0110DEFF" w14:textId="77777777" w:rsidR="00064EC4" w:rsidRDefault="00064EC4" w:rsidP="004E55EA">
            <w:pPr>
              <w:tabs>
                <w:tab w:val="left" w:pos="709"/>
              </w:tabs>
              <w:rPr>
                <w:rFonts w:asciiTheme="minorHAnsi" w:hAnsiTheme="minorHAnsi" w:cstheme="minorHAnsi"/>
                <w:bCs/>
                <w:sz w:val="22"/>
                <w:szCs w:val="22"/>
              </w:rPr>
            </w:pPr>
          </w:p>
          <w:p w14:paraId="4E23B64E" w14:textId="4B15AB19" w:rsidR="00F651DA" w:rsidRPr="005319FB" w:rsidRDefault="00F651DA"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Maintain a list of approved granular sub-base suppliers, consistent with the Council’s construction specification. In maintaining the list, the post holder will need to liaise with the industry supply chain and undertake site visits to quarries and aggregate processing plants to check compliance with Council requirements and broader British Standards and environmental regulations. </w:t>
            </w:r>
          </w:p>
          <w:p w14:paraId="7F47932E"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8071882" w14:textId="6AF9F748" w:rsidR="00064EC4"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Council’s Construction Specification</w:t>
            </w:r>
          </w:p>
          <w:p w14:paraId="6E4BF2F0" w14:textId="77777777" w:rsidR="00F651DA" w:rsidRDefault="00F651DA" w:rsidP="004E55EA">
            <w:pPr>
              <w:tabs>
                <w:tab w:val="left" w:pos="709"/>
              </w:tabs>
              <w:rPr>
                <w:rFonts w:asciiTheme="minorHAnsi" w:hAnsiTheme="minorHAnsi" w:cstheme="minorHAnsi"/>
                <w:bCs/>
                <w:sz w:val="22"/>
                <w:szCs w:val="22"/>
                <w:u w:val="single"/>
              </w:rPr>
            </w:pPr>
          </w:p>
          <w:p w14:paraId="73441C6C" w14:textId="5DAD70F3" w:rsidR="00064EC4" w:rsidRDefault="00F651DA"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The County Council maintains a construction specification for new development related highway infrastructure in addition to standard details for internal projects. The post holder will need to routinely input into the updating of both standards, ensuring lessons learnt from past successes and failures are reflected in any changes.</w:t>
            </w:r>
          </w:p>
          <w:p w14:paraId="76E2FDEF" w14:textId="77777777" w:rsidR="00F651DA" w:rsidRDefault="00F651DA" w:rsidP="004E55EA">
            <w:pPr>
              <w:tabs>
                <w:tab w:val="left" w:pos="709"/>
              </w:tabs>
              <w:rPr>
                <w:rFonts w:asciiTheme="minorHAnsi" w:hAnsiTheme="minorHAnsi" w:cstheme="minorHAnsi"/>
                <w:bCs/>
                <w:sz w:val="22"/>
                <w:szCs w:val="22"/>
              </w:rPr>
            </w:pPr>
          </w:p>
          <w:p w14:paraId="6BE843AB" w14:textId="3CD57AF1" w:rsidR="00F651DA" w:rsidRPr="005319FB" w:rsidRDefault="00F651DA"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Further, the Pavement Engineer will need to check the suitability of any proposed deviation</w:t>
            </w:r>
            <w:r w:rsidR="005D6793">
              <w:rPr>
                <w:rFonts w:asciiTheme="minorHAnsi" w:hAnsiTheme="minorHAnsi" w:cstheme="minorHAnsi"/>
                <w:bCs/>
                <w:sz w:val="22"/>
                <w:szCs w:val="22"/>
              </w:rPr>
              <w:t>s</w:t>
            </w:r>
            <w:r>
              <w:rPr>
                <w:rFonts w:asciiTheme="minorHAnsi" w:hAnsiTheme="minorHAnsi" w:cstheme="minorHAnsi"/>
                <w:bCs/>
                <w:sz w:val="22"/>
                <w:szCs w:val="22"/>
              </w:rPr>
              <w:t xml:space="preserve"> from the standard specification</w:t>
            </w:r>
            <w:r w:rsidR="005D6793">
              <w:rPr>
                <w:rFonts w:asciiTheme="minorHAnsi" w:hAnsiTheme="minorHAnsi" w:cstheme="minorHAnsi"/>
                <w:bCs/>
                <w:sz w:val="22"/>
                <w:szCs w:val="22"/>
              </w:rPr>
              <w:t xml:space="preserve">, by either third-party developers or the County’s own contractor. </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68E0453D" w14:textId="77777777" w:rsidTr="4066598D">
        <w:tc>
          <w:tcPr>
            <w:tcW w:w="288" w:type="pct"/>
          </w:tcPr>
          <w:p w14:paraId="75D8DE5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BD7B144" w14:textId="0B49E8A2" w:rsidR="00064EC4" w:rsidRPr="009055EA"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Review and interpret technical reports</w:t>
            </w:r>
          </w:p>
          <w:p w14:paraId="3CB82D95" w14:textId="77777777" w:rsidR="00064EC4" w:rsidRDefault="00064EC4" w:rsidP="004E55EA">
            <w:pPr>
              <w:tabs>
                <w:tab w:val="left" w:pos="709"/>
              </w:tabs>
              <w:rPr>
                <w:rFonts w:asciiTheme="minorHAnsi" w:hAnsiTheme="minorHAnsi" w:cstheme="minorHAnsi"/>
                <w:bCs/>
                <w:sz w:val="22"/>
                <w:szCs w:val="22"/>
              </w:rPr>
            </w:pPr>
          </w:p>
          <w:p w14:paraId="322A3610" w14:textId="1C8A5AAF" w:rsidR="00DB29DC" w:rsidRDefault="00DB29DC"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Review technical reports and test results. Interpret the findings to inform design decisions and / or construction methodologies. </w:t>
            </w:r>
          </w:p>
          <w:p w14:paraId="09B5E539" w14:textId="77777777" w:rsidR="00DB29DC" w:rsidRDefault="00DB29DC" w:rsidP="004E55EA">
            <w:pPr>
              <w:tabs>
                <w:tab w:val="left" w:pos="709"/>
              </w:tabs>
              <w:rPr>
                <w:rFonts w:asciiTheme="minorHAnsi" w:hAnsiTheme="minorHAnsi" w:cstheme="minorHAnsi"/>
                <w:bCs/>
                <w:sz w:val="22"/>
                <w:szCs w:val="22"/>
              </w:rPr>
            </w:pPr>
          </w:p>
          <w:p w14:paraId="10BB165C" w14:textId="63121520" w:rsidR="00DB29DC" w:rsidRPr="00DB29DC" w:rsidRDefault="00DB29DC"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Reports and tests will include, but are not limited to, desktop site investigations, ground investigations, trial pits, road cores, plasticity index testing, lightweight deflectometer, on-site CBR test, dynamic probe test, moisture content, particle size distributions etc. </w:t>
            </w:r>
          </w:p>
          <w:p w14:paraId="5E684180" w14:textId="77777777" w:rsidR="00064EC4" w:rsidRDefault="00064EC4" w:rsidP="004E55EA">
            <w:pPr>
              <w:tabs>
                <w:tab w:val="left" w:pos="709"/>
              </w:tabs>
              <w:rPr>
                <w:rFonts w:asciiTheme="minorHAnsi" w:hAnsiTheme="minorHAnsi" w:cstheme="minorHAnsi"/>
                <w:bCs/>
                <w:sz w:val="22"/>
                <w:szCs w:val="22"/>
              </w:rPr>
            </w:pPr>
          </w:p>
          <w:p w14:paraId="52CC9257" w14:textId="3590CE62" w:rsidR="00DB29DC" w:rsidRDefault="00DB29DC"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In addition to reviewing testing data and technical reports, the post holder will also need to advise on what level of testing is necessary in specific circumstances to give the Council sufficient assurance that the works will be fit for purpose. </w:t>
            </w:r>
          </w:p>
          <w:p w14:paraId="00B98998" w14:textId="77777777" w:rsidR="00DB29DC" w:rsidRPr="005319FB" w:rsidRDefault="00DB29DC" w:rsidP="004E55EA">
            <w:pPr>
              <w:tabs>
                <w:tab w:val="left" w:pos="709"/>
              </w:tabs>
              <w:rPr>
                <w:rFonts w:asciiTheme="minorHAnsi" w:hAnsiTheme="minorHAnsi" w:cstheme="minorHAnsi"/>
                <w:bCs/>
                <w:sz w:val="22"/>
                <w:szCs w:val="22"/>
              </w:rPr>
            </w:pPr>
          </w:p>
        </w:tc>
      </w:tr>
    </w:tbl>
    <w:p w14:paraId="7A029D8B" w14:textId="77777777" w:rsidR="00DB29DC" w:rsidRDefault="00DB29DC">
      <w:r>
        <w:br w:type="page"/>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06E4EAE6" w14:textId="77777777" w:rsidTr="4066598D">
        <w:tc>
          <w:tcPr>
            <w:tcW w:w="288" w:type="pct"/>
          </w:tcPr>
          <w:p w14:paraId="7ECD17C3" w14:textId="3DDD9DFC"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D15A102" w14:textId="2E614F86" w:rsidR="00064EC4"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Adoption administration &amp; record keeping</w:t>
            </w:r>
          </w:p>
          <w:p w14:paraId="322B3002" w14:textId="77777777" w:rsidR="00DB29DC" w:rsidRPr="009055EA" w:rsidRDefault="00DB29DC" w:rsidP="004E55EA">
            <w:pPr>
              <w:tabs>
                <w:tab w:val="left" w:pos="709"/>
              </w:tabs>
              <w:rPr>
                <w:rFonts w:asciiTheme="minorHAnsi" w:hAnsiTheme="minorHAnsi" w:cstheme="minorHAnsi"/>
                <w:bCs/>
                <w:sz w:val="22"/>
                <w:szCs w:val="22"/>
                <w:u w:val="single"/>
              </w:rPr>
            </w:pPr>
          </w:p>
          <w:p w14:paraId="7684E683" w14:textId="6D049C95" w:rsidR="00D90D1A" w:rsidRPr="005319FB" w:rsidRDefault="00DB29DC"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Support the Highway Development Management team with the recording of </w:t>
            </w:r>
            <w:r w:rsidR="00D90D1A">
              <w:rPr>
                <w:rFonts w:asciiTheme="minorHAnsi" w:hAnsiTheme="minorHAnsi" w:cstheme="minorHAnsi"/>
                <w:bCs/>
                <w:sz w:val="22"/>
                <w:szCs w:val="22"/>
              </w:rPr>
              <w:t>material tickets and testing data for new residential roads which</w:t>
            </w:r>
            <w:r w:rsidR="006067D9">
              <w:rPr>
                <w:rFonts w:asciiTheme="minorHAnsi" w:hAnsiTheme="minorHAnsi" w:cstheme="minorHAnsi"/>
                <w:bCs/>
                <w:sz w:val="22"/>
                <w:szCs w:val="22"/>
              </w:rPr>
              <w:t xml:space="preserve"> are</w:t>
            </w:r>
            <w:r w:rsidR="00D90D1A">
              <w:rPr>
                <w:rFonts w:asciiTheme="minorHAnsi" w:hAnsiTheme="minorHAnsi" w:cstheme="minorHAnsi"/>
                <w:bCs/>
                <w:sz w:val="22"/>
                <w:szCs w:val="22"/>
              </w:rPr>
              <w:t xml:space="preserve"> intended for adoption by the Council as highway maintainable at public expense. Record and document such information which will inform any future maintenance activities, or which would be required as part of a Health and Safety file. </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AA34E00" w14:textId="528486A0" w:rsidR="00064EC4" w:rsidRPr="009055EA"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Emerging technologies, materials &amp; construction methods</w:t>
            </w:r>
          </w:p>
          <w:p w14:paraId="65F4480A" w14:textId="77777777" w:rsidR="00064EC4" w:rsidRDefault="00064EC4" w:rsidP="004E55EA">
            <w:pPr>
              <w:tabs>
                <w:tab w:val="left" w:pos="709"/>
              </w:tabs>
              <w:rPr>
                <w:rFonts w:asciiTheme="minorHAnsi" w:hAnsiTheme="minorHAnsi" w:cstheme="minorHAnsi"/>
                <w:bCs/>
                <w:sz w:val="22"/>
                <w:szCs w:val="22"/>
              </w:rPr>
            </w:pPr>
          </w:p>
          <w:p w14:paraId="15DEB4E9" w14:textId="25B678CA" w:rsidR="006067D9" w:rsidRDefault="006067D9"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In the interest of continuous improvement</w:t>
            </w:r>
            <w:r w:rsidR="00CB1CA9">
              <w:rPr>
                <w:rFonts w:asciiTheme="minorHAnsi" w:hAnsiTheme="minorHAnsi" w:cstheme="minorHAnsi"/>
                <w:bCs/>
                <w:sz w:val="22"/>
                <w:szCs w:val="22"/>
              </w:rPr>
              <w:t xml:space="preserve">, investigate new and emerging asphalt materials (or alternative replacements), granular sub-bases and concrete mixes which have reduced carbon footprints or other benefits related to longevity or ease of construction. This investigation will require liaison with the wider civil engineering industry and private supply chains. </w:t>
            </w:r>
          </w:p>
          <w:p w14:paraId="374204E7" w14:textId="77777777" w:rsidR="00CB1CA9" w:rsidRDefault="00CB1CA9" w:rsidP="004E55EA">
            <w:pPr>
              <w:tabs>
                <w:tab w:val="left" w:pos="709"/>
              </w:tabs>
              <w:rPr>
                <w:rFonts w:asciiTheme="minorHAnsi" w:hAnsiTheme="minorHAnsi" w:cstheme="minorHAnsi"/>
                <w:bCs/>
                <w:sz w:val="22"/>
                <w:szCs w:val="22"/>
              </w:rPr>
            </w:pPr>
          </w:p>
          <w:p w14:paraId="21B61058" w14:textId="5D270179" w:rsidR="00CB1CA9" w:rsidRDefault="00CB1CA9"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Similarly, continue to investigate new and emerging methods for the extension of the life of existing carriageways, footways and cycle tracks. </w:t>
            </w:r>
          </w:p>
          <w:p w14:paraId="2B07EF99" w14:textId="77777777" w:rsidR="00CB1CA9" w:rsidRDefault="00CB1CA9" w:rsidP="004E55EA">
            <w:pPr>
              <w:tabs>
                <w:tab w:val="left" w:pos="709"/>
              </w:tabs>
              <w:rPr>
                <w:rFonts w:asciiTheme="minorHAnsi" w:hAnsiTheme="minorHAnsi" w:cstheme="minorHAnsi"/>
                <w:bCs/>
                <w:sz w:val="22"/>
                <w:szCs w:val="22"/>
              </w:rPr>
            </w:pPr>
          </w:p>
          <w:p w14:paraId="3AE12397" w14:textId="19C23EED" w:rsidR="00CB1CA9" w:rsidRPr="005319FB" w:rsidRDefault="00CB1CA9"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Share such knowledge with internal County Council teams </w:t>
            </w:r>
            <w:proofErr w:type="gramStart"/>
            <w:r>
              <w:rPr>
                <w:rFonts w:asciiTheme="minorHAnsi" w:hAnsiTheme="minorHAnsi" w:cstheme="minorHAnsi"/>
                <w:bCs/>
                <w:sz w:val="22"/>
                <w:szCs w:val="22"/>
              </w:rPr>
              <w:t>and also</w:t>
            </w:r>
            <w:proofErr w:type="gramEnd"/>
            <w:r>
              <w:rPr>
                <w:rFonts w:asciiTheme="minorHAnsi" w:hAnsiTheme="minorHAnsi" w:cstheme="minorHAnsi"/>
                <w:bCs/>
                <w:sz w:val="22"/>
                <w:szCs w:val="22"/>
              </w:rPr>
              <w:t xml:space="preserve"> the County’s term service contractor and where appropriate, organise trials test cases to ascertain the suitability of new materials or construction methods. </w:t>
            </w: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DD73AD2" w14:textId="434E92A8" w:rsidR="00064EC4" w:rsidRPr="009055EA" w:rsidRDefault="009055EA" w:rsidP="004E55EA">
            <w:pPr>
              <w:tabs>
                <w:tab w:val="left" w:pos="709"/>
              </w:tabs>
              <w:rPr>
                <w:rFonts w:asciiTheme="minorHAnsi" w:hAnsiTheme="minorHAnsi" w:cstheme="minorHAnsi"/>
                <w:bCs/>
                <w:sz w:val="22"/>
                <w:szCs w:val="22"/>
                <w:u w:val="single"/>
              </w:rPr>
            </w:pPr>
            <w:r>
              <w:rPr>
                <w:rFonts w:asciiTheme="minorHAnsi" w:hAnsiTheme="minorHAnsi" w:cstheme="minorHAnsi"/>
                <w:bCs/>
                <w:sz w:val="22"/>
                <w:szCs w:val="22"/>
                <w:u w:val="single"/>
              </w:rPr>
              <w:t>On-site inspection</w:t>
            </w:r>
          </w:p>
          <w:p w14:paraId="14F83C92" w14:textId="77777777" w:rsidR="00064EC4" w:rsidRDefault="00064EC4" w:rsidP="004E55EA">
            <w:pPr>
              <w:tabs>
                <w:tab w:val="left" w:pos="709"/>
              </w:tabs>
              <w:rPr>
                <w:rFonts w:asciiTheme="minorHAnsi" w:hAnsiTheme="minorHAnsi" w:cstheme="minorHAnsi"/>
                <w:bCs/>
                <w:sz w:val="22"/>
                <w:szCs w:val="22"/>
              </w:rPr>
            </w:pPr>
          </w:p>
          <w:p w14:paraId="069827E6" w14:textId="53A6E534" w:rsidR="00CB1CA9" w:rsidRDefault="00CB1CA9"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Assist internal teams with on-site inspection, particularly during the following constructions stages:</w:t>
            </w:r>
          </w:p>
          <w:p w14:paraId="4085EAD7" w14:textId="77777777" w:rsidR="00CB1CA9" w:rsidRDefault="00CB1CA9" w:rsidP="004E55EA">
            <w:pPr>
              <w:tabs>
                <w:tab w:val="left" w:pos="709"/>
              </w:tabs>
              <w:rPr>
                <w:rFonts w:asciiTheme="minorHAnsi" w:hAnsiTheme="minorHAnsi" w:cstheme="minorHAnsi"/>
                <w:bCs/>
                <w:sz w:val="22"/>
                <w:szCs w:val="22"/>
              </w:rPr>
            </w:pPr>
          </w:p>
          <w:p w14:paraId="48C353AA" w14:textId="78A7F0D5" w:rsidR="00CB1CA9" w:rsidRDefault="00CB1CA9" w:rsidP="00CB1CA9">
            <w:pPr>
              <w:pStyle w:val="ListParagraph"/>
              <w:numPr>
                <w:ilvl w:val="0"/>
                <w:numId w:val="9"/>
              </w:num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Initial enabling earthworks, incl. the placement of fill materials. </w:t>
            </w:r>
          </w:p>
          <w:p w14:paraId="6CC0FC1E" w14:textId="1C831E58" w:rsidR="00CB1CA9" w:rsidRDefault="00CB1CA9" w:rsidP="00CB1CA9">
            <w:pPr>
              <w:pStyle w:val="ListParagraph"/>
              <w:numPr>
                <w:ilvl w:val="0"/>
                <w:numId w:val="9"/>
              </w:num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Inspection of storage of site won material intended for re-use underneath new highway infrastructure. </w:t>
            </w:r>
          </w:p>
          <w:p w14:paraId="5DA34855" w14:textId="779C0AA2" w:rsidR="00CB1CA9" w:rsidRDefault="00CB1CA9" w:rsidP="00CB1CA9">
            <w:pPr>
              <w:pStyle w:val="ListParagraph"/>
              <w:numPr>
                <w:ilvl w:val="0"/>
                <w:numId w:val="9"/>
              </w:num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Laying or granular sub-base and / or capping layers. </w:t>
            </w:r>
          </w:p>
          <w:p w14:paraId="11CD5E10" w14:textId="340A2D8B" w:rsidR="00CB1CA9" w:rsidRDefault="00CB1CA9" w:rsidP="00CB1CA9">
            <w:pPr>
              <w:pStyle w:val="ListParagraph"/>
              <w:numPr>
                <w:ilvl w:val="0"/>
                <w:numId w:val="9"/>
              </w:numPr>
              <w:tabs>
                <w:tab w:val="left" w:pos="709"/>
              </w:tabs>
              <w:rPr>
                <w:rFonts w:asciiTheme="minorHAnsi" w:hAnsiTheme="minorHAnsi" w:cstheme="minorHAnsi"/>
                <w:bCs/>
                <w:sz w:val="22"/>
                <w:szCs w:val="22"/>
              </w:rPr>
            </w:pPr>
            <w:r>
              <w:rPr>
                <w:rFonts w:asciiTheme="minorHAnsi" w:hAnsiTheme="minorHAnsi" w:cstheme="minorHAnsi"/>
                <w:bCs/>
                <w:sz w:val="22"/>
                <w:szCs w:val="22"/>
              </w:rPr>
              <w:t>Laying of asphalt layers (base, binder and surface course).</w:t>
            </w:r>
          </w:p>
          <w:p w14:paraId="6757CBCF" w14:textId="77777777" w:rsidR="00CB1CA9" w:rsidRDefault="00CB1CA9" w:rsidP="00CB1CA9">
            <w:pPr>
              <w:tabs>
                <w:tab w:val="left" w:pos="709"/>
              </w:tabs>
              <w:rPr>
                <w:rFonts w:asciiTheme="minorHAnsi" w:hAnsiTheme="minorHAnsi" w:cstheme="minorHAnsi"/>
                <w:bCs/>
                <w:sz w:val="22"/>
                <w:szCs w:val="22"/>
              </w:rPr>
            </w:pPr>
          </w:p>
          <w:p w14:paraId="747F2FF8" w14:textId="50A779C4" w:rsidR="00CB1CA9" w:rsidRPr="00CB1CA9" w:rsidRDefault="00CB1CA9" w:rsidP="00CB1CA9">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During inspection, support County Council Inspectors and Engineers identify areas of non-compliance. </w:t>
            </w:r>
          </w:p>
          <w:p w14:paraId="12385BF3"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5DBEB213" w14:textId="77777777" w:rsidTr="4066598D">
        <w:tc>
          <w:tcPr>
            <w:tcW w:w="288" w:type="pct"/>
          </w:tcPr>
          <w:p w14:paraId="30B015C6" w14:textId="416FB1E2" w:rsidR="00064EC4" w:rsidRPr="005319FB" w:rsidRDefault="008101E6"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10</w:t>
            </w:r>
            <w:r w:rsidR="00064EC4" w:rsidRPr="005319FB">
              <w:rPr>
                <w:rFonts w:asciiTheme="minorHAnsi" w:hAnsiTheme="minorHAnsi" w:cstheme="minorHAnsi"/>
                <w:bCs/>
                <w:sz w:val="22"/>
                <w:szCs w:val="22"/>
              </w:rPr>
              <w:t>.</w:t>
            </w:r>
          </w:p>
          <w:p w14:paraId="6E401C20" w14:textId="77777777" w:rsidR="00064EC4" w:rsidRPr="005319FB" w:rsidRDefault="00064EC4"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C83F79B" w14:textId="4D350306" w:rsidR="00064EC4" w:rsidRPr="005319FB" w:rsidRDefault="2DFF8A29" w:rsidP="4066598D">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w:t>
            </w:r>
            <w:r w:rsidR="00225772" w:rsidRPr="4066598D">
              <w:rPr>
                <w:rFonts w:asciiTheme="minorHAnsi" w:eastAsia="Calibri" w:hAnsiTheme="minorHAnsi" w:cstheme="minorBidi"/>
                <w:color w:val="000000" w:themeColor="text1"/>
                <w:sz w:val="22"/>
                <w:szCs w:val="22"/>
                <w:lang w:eastAsia="en-US"/>
              </w:rPr>
              <w:t xml:space="preserve">emonstrate </w:t>
            </w:r>
            <w:r w:rsidR="6CE8B1AA" w:rsidRPr="4066598D">
              <w:rPr>
                <w:rFonts w:asciiTheme="minorHAnsi" w:eastAsia="Calibri" w:hAnsiTheme="minorHAnsi" w:cstheme="minorBidi"/>
                <w:color w:val="000000" w:themeColor="text1"/>
                <w:sz w:val="22"/>
                <w:szCs w:val="22"/>
                <w:lang w:eastAsia="en-US"/>
              </w:rPr>
              <w:t xml:space="preserve">an </w:t>
            </w:r>
            <w:r w:rsidR="00225772" w:rsidRPr="4066598D">
              <w:rPr>
                <w:rFonts w:asciiTheme="minorHAnsi" w:eastAsia="Calibri" w:hAnsiTheme="minorHAnsi" w:cstheme="minorBidi"/>
                <w:color w:val="000000" w:themeColor="text1"/>
                <w:sz w:val="22"/>
                <w:szCs w:val="22"/>
                <w:lang w:eastAsia="en-US"/>
              </w:rPr>
              <w:t>awareness</w:t>
            </w:r>
            <w:r w:rsidR="1AE85EF5" w:rsidRPr="4066598D">
              <w:rPr>
                <w:rFonts w:asciiTheme="minorHAnsi" w:eastAsia="Calibri" w:hAnsiTheme="minorHAnsi" w:cstheme="minorBidi"/>
                <w:color w:val="000000" w:themeColor="text1"/>
                <w:sz w:val="22"/>
                <w:szCs w:val="22"/>
                <w:lang w:eastAsia="en-US"/>
              </w:rPr>
              <w:t xml:space="preserve"> and </w:t>
            </w:r>
            <w:r w:rsidR="00225772" w:rsidRPr="4066598D">
              <w:rPr>
                <w:rFonts w:asciiTheme="minorHAnsi" w:eastAsia="Calibri" w:hAnsiTheme="minorHAnsi" w:cstheme="minorBidi"/>
                <w:color w:val="000000" w:themeColor="text1"/>
                <w:sz w:val="22"/>
                <w:szCs w:val="22"/>
                <w:lang w:eastAsia="en-US"/>
              </w:rPr>
              <w:t xml:space="preserve">understanding of </w:t>
            </w:r>
            <w:r w:rsidR="5FE57BAC" w:rsidRPr="4066598D">
              <w:rPr>
                <w:rFonts w:asciiTheme="minorHAnsi" w:eastAsia="Calibri" w:hAnsiTheme="minorHAnsi" w:cstheme="minorBidi"/>
                <w:color w:val="000000" w:themeColor="text1"/>
                <w:sz w:val="22"/>
                <w:szCs w:val="22"/>
                <w:lang w:eastAsia="en-US"/>
              </w:rPr>
              <w:t>equality, diversity and inclusion</w:t>
            </w:r>
            <w:r w:rsidR="00225772" w:rsidRPr="4066598D">
              <w:rPr>
                <w:rFonts w:asciiTheme="minorHAnsi" w:eastAsia="Calibri" w:hAnsiTheme="minorHAnsi" w:cstheme="minorBidi"/>
                <w:color w:val="000000" w:themeColor="text1"/>
                <w:sz w:val="22"/>
                <w:szCs w:val="22"/>
                <w:lang w:eastAsia="en-US"/>
              </w:rPr>
              <w:t>.</w:t>
            </w:r>
            <w:r w:rsidR="00225772" w:rsidRPr="4066598D">
              <w:rPr>
                <w:rFonts w:asciiTheme="minorHAnsi" w:hAnsiTheme="minorHAnsi" w:cstheme="minorBidi"/>
                <w:sz w:val="23"/>
                <w:szCs w:val="23"/>
              </w:rPr>
              <w:t xml:space="preserve">  </w:t>
            </w:r>
          </w:p>
        </w:tc>
      </w:tr>
      <w:tr w:rsidR="00712F88" w:rsidRPr="00EF38BC" w14:paraId="73036726" w14:textId="77777777" w:rsidTr="4066598D">
        <w:tc>
          <w:tcPr>
            <w:tcW w:w="288" w:type="pct"/>
          </w:tcPr>
          <w:p w14:paraId="71A3D821" w14:textId="2504A274" w:rsidR="00712F88" w:rsidRPr="005319FB" w:rsidRDefault="00712F88" w:rsidP="000369A5">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11.</w:t>
            </w:r>
          </w:p>
        </w:tc>
        <w:tc>
          <w:tcPr>
            <w:tcW w:w="4712" w:type="pct"/>
          </w:tcPr>
          <w:p w14:paraId="36751567" w14:textId="77777777" w:rsidR="00712F88" w:rsidRDefault="004A236C" w:rsidP="4066598D">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w:t>
            </w:r>
            <w:r w:rsidR="00872E3C">
              <w:rPr>
                <w:rFonts w:asciiTheme="minorHAnsi" w:eastAsia="Calibri" w:hAnsiTheme="minorHAnsi" w:cstheme="minorBidi"/>
                <w:color w:val="000000" w:themeColor="text1"/>
                <w:sz w:val="22"/>
                <w:szCs w:val="22"/>
                <w:lang w:eastAsia="en-US"/>
              </w:rPr>
              <w:t>commit</w:t>
            </w:r>
            <w:r>
              <w:rPr>
                <w:rFonts w:asciiTheme="minorHAnsi" w:eastAsia="Calibri" w:hAnsiTheme="minorHAnsi" w:cstheme="minorBidi"/>
                <w:color w:val="000000" w:themeColor="text1"/>
                <w:sz w:val="22"/>
                <w:szCs w:val="22"/>
                <w:lang w:eastAsia="en-US"/>
              </w:rPr>
              <w:t>ment</w:t>
            </w:r>
            <w:r w:rsidR="00872E3C">
              <w:rPr>
                <w:rFonts w:asciiTheme="minorHAnsi" w:eastAsia="Calibri" w:hAnsiTheme="minorHAnsi" w:cstheme="minorBidi"/>
                <w:color w:val="000000" w:themeColor="text1"/>
                <w:sz w:val="22"/>
                <w:szCs w:val="22"/>
                <w:lang w:eastAsia="en-US"/>
              </w:rPr>
              <w:t xml:space="preserve"> to </w:t>
            </w:r>
            <w:r w:rsidR="00872E3C" w:rsidRPr="008D6456">
              <w:rPr>
                <w:rFonts w:asciiTheme="minorHAnsi" w:eastAsia="Calibri" w:hAnsiTheme="minorHAnsi" w:cstheme="minorBidi"/>
                <w:color w:val="000000" w:themeColor="text1"/>
                <w:sz w:val="22"/>
                <w:szCs w:val="22"/>
                <w:lang w:eastAsia="en-US"/>
              </w:rPr>
              <w:t>becom</w:t>
            </w:r>
            <w:r w:rsidR="008D6456" w:rsidRPr="008D6456">
              <w:rPr>
                <w:rFonts w:asciiTheme="minorHAnsi" w:eastAsia="Calibri" w:hAnsiTheme="minorHAnsi" w:cstheme="minorBidi"/>
                <w:color w:val="000000" w:themeColor="text1"/>
                <w:sz w:val="22"/>
                <w:szCs w:val="22"/>
                <w:lang w:eastAsia="en-US"/>
              </w:rPr>
              <w:t xml:space="preserve">ing </w:t>
            </w:r>
            <w:r w:rsidR="00872E3C" w:rsidRPr="008D6456">
              <w:rPr>
                <w:rFonts w:asciiTheme="minorHAnsi" w:eastAsia="Calibri" w:hAnsiTheme="minorHAnsi" w:cstheme="minorBidi"/>
                <w:color w:val="000000" w:themeColor="text1"/>
                <w:sz w:val="22"/>
                <w:szCs w:val="22"/>
                <w:lang w:eastAsia="en-US"/>
              </w:rPr>
              <w:t>a Net Zero organisation by 203</w:t>
            </w:r>
            <w:r w:rsidR="009A4933">
              <w:rPr>
                <w:rFonts w:asciiTheme="minorHAnsi" w:eastAsia="Calibri" w:hAnsiTheme="minorHAnsi" w:cstheme="minorBidi"/>
                <w:color w:val="000000" w:themeColor="text1"/>
                <w:sz w:val="22"/>
                <w:szCs w:val="22"/>
                <w:lang w:eastAsia="en-US"/>
              </w:rPr>
              <w:t>0</w:t>
            </w:r>
            <w:r w:rsidR="00593798">
              <w:rPr>
                <w:rFonts w:asciiTheme="minorHAnsi" w:eastAsia="Calibri" w:hAnsiTheme="minorHAnsi" w:cstheme="minorBidi"/>
                <w:color w:val="000000" w:themeColor="text1"/>
                <w:sz w:val="22"/>
                <w:szCs w:val="22"/>
                <w:lang w:eastAsia="en-US"/>
              </w:rPr>
              <w:t xml:space="preserve">.  </w:t>
            </w:r>
          </w:p>
          <w:p w14:paraId="35A76CBD" w14:textId="0A1891B7" w:rsidR="00CB1CA9" w:rsidRPr="4066598D" w:rsidRDefault="00CB1CA9" w:rsidP="4066598D">
            <w:pPr>
              <w:tabs>
                <w:tab w:val="left" w:pos="709"/>
              </w:tabs>
              <w:rPr>
                <w:rFonts w:asciiTheme="minorHAnsi" w:eastAsia="Calibri" w:hAnsiTheme="minorHAnsi" w:cstheme="minorBidi"/>
                <w:color w:val="000000" w:themeColor="text1"/>
                <w:sz w:val="22"/>
                <w:szCs w:val="22"/>
                <w:lang w:eastAsia="en-US"/>
              </w:rPr>
            </w:pPr>
          </w:p>
        </w:tc>
      </w:tr>
    </w:tbl>
    <w:p w14:paraId="656569D3" w14:textId="77777777" w:rsidR="009D72C4" w:rsidRDefault="009D72C4" w:rsidP="002436FE">
      <w:pPr>
        <w:spacing w:after="120"/>
        <w:jc w:val="center"/>
        <w:rPr>
          <w:rFonts w:asciiTheme="minorHAnsi" w:hAnsiTheme="minorHAnsi" w:cstheme="minorHAnsi"/>
          <w:b/>
          <w:color w:val="003399"/>
          <w:sz w:val="36"/>
          <w:szCs w:val="36"/>
        </w:rPr>
      </w:pPr>
    </w:p>
    <w:p w14:paraId="416568BE" w14:textId="7D2A9364" w:rsidR="00746CB6" w:rsidRDefault="00746CB6" w:rsidP="002436FE">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B1020D">
        <w:trPr>
          <w:trHeight w:val="427"/>
          <w:jc w:val="center"/>
        </w:trPr>
        <w:tc>
          <w:tcPr>
            <w:tcW w:w="3954" w:type="dxa"/>
            <w:tcBorders>
              <w:top w:val="single" w:sz="4" w:space="0" w:color="auto"/>
              <w:left w:val="single" w:sz="6" w:space="0" w:color="auto"/>
              <w:bottom w:val="single" w:sz="6" w:space="0" w:color="auto"/>
            </w:tcBorders>
            <w:vAlign w:val="center"/>
          </w:tcPr>
          <w:p w14:paraId="14335CD0" w14:textId="626E4599" w:rsidR="004E55EA" w:rsidRPr="00B1020D" w:rsidRDefault="00B1020D" w:rsidP="00B1020D">
            <w:pPr>
              <w:spacing w:before="120" w:after="120"/>
              <w:rPr>
                <w:rFonts w:ascii="Arial" w:hAnsi="Arial" w:cs="Arial"/>
                <w:bCs/>
                <w:sz w:val="22"/>
                <w:szCs w:val="22"/>
              </w:rPr>
            </w:pPr>
            <w:r>
              <w:rPr>
                <w:rFonts w:ascii="Arial" w:hAnsi="Arial" w:cs="Arial"/>
                <w:bCs/>
                <w:sz w:val="22"/>
                <w:szCs w:val="22"/>
              </w:rPr>
              <w:t>Bachelor’s degree</w:t>
            </w:r>
          </w:p>
        </w:tc>
        <w:tc>
          <w:tcPr>
            <w:tcW w:w="4500" w:type="dxa"/>
            <w:tcBorders>
              <w:top w:val="single" w:sz="4" w:space="0" w:color="auto"/>
              <w:left w:val="single" w:sz="6" w:space="0" w:color="auto"/>
              <w:bottom w:val="single" w:sz="6" w:space="0" w:color="auto"/>
              <w:right w:val="single" w:sz="6" w:space="0" w:color="auto"/>
            </w:tcBorders>
            <w:vAlign w:val="center"/>
          </w:tcPr>
          <w:p w14:paraId="117C4679" w14:textId="6CB746A3" w:rsidR="004E55EA" w:rsidRPr="00B1020D" w:rsidRDefault="00B1020D" w:rsidP="00B1020D">
            <w:pPr>
              <w:spacing w:before="120" w:after="120"/>
              <w:rPr>
                <w:rFonts w:ascii="Arial" w:hAnsi="Arial" w:cs="Arial"/>
                <w:bCs/>
                <w:sz w:val="22"/>
                <w:szCs w:val="22"/>
              </w:rPr>
            </w:pPr>
            <w:r>
              <w:rPr>
                <w:rFonts w:ascii="Arial" w:hAnsi="Arial" w:cs="Arial"/>
                <w:bCs/>
                <w:sz w:val="22"/>
                <w:szCs w:val="22"/>
              </w:rPr>
              <w:t>Civil Engineering, Highway Engineering, or Geotechnical Engineering, or equivalent experience</w:t>
            </w:r>
          </w:p>
        </w:tc>
        <w:tc>
          <w:tcPr>
            <w:tcW w:w="1616" w:type="dxa"/>
            <w:tcBorders>
              <w:top w:val="single" w:sz="4" w:space="0" w:color="auto"/>
              <w:left w:val="single" w:sz="6" w:space="0" w:color="auto"/>
              <w:bottom w:val="single" w:sz="6" w:space="0" w:color="auto"/>
              <w:right w:val="single" w:sz="6" w:space="0" w:color="auto"/>
            </w:tcBorders>
            <w:vAlign w:val="center"/>
          </w:tcPr>
          <w:p w14:paraId="67A83831" w14:textId="3998DD94" w:rsidR="004E55EA" w:rsidRPr="00B1020D" w:rsidRDefault="00B1020D" w:rsidP="00B1020D">
            <w:pPr>
              <w:spacing w:before="120" w:after="120"/>
              <w:rPr>
                <w:rFonts w:ascii="Arial" w:hAnsi="Arial" w:cs="Arial"/>
                <w:bCs/>
                <w:sz w:val="22"/>
                <w:szCs w:val="22"/>
              </w:rPr>
            </w:pPr>
            <w:r>
              <w:rPr>
                <w:rFonts w:ascii="Arial" w:hAnsi="Arial" w:cs="Arial"/>
                <w:bCs/>
                <w:sz w:val="22"/>
                <w:szCs w:val="22"/>
              </w:rPr>
              <w:t>Essential</w:t>
            </w:r>
          </w:p>
        </w:tc>
      </w:tr>
      <w:tr w:rsidR="00B1020D" w:rsidRPr="003220BA" w14:paraId="331C83C6" w14:textId="77777777" w:rsidTr="00B1020D">
        <w:trPr>
          <w:trHeight w:val="427"/>
          <w:jc w:val="center"/>
        </w:trPr>
        <w:tc>
          <w:tcPr>
            <w:tcW w:w="3954" w:type="dxa"/>
            <w:tcBorders>
              <w:top w:val="single" w:sz="4" w:space="0" w:color="auto"/>
              <w:left w:val="single" w:sz="6" w:space="0" w:color="auto"/>
              <w:bottom w:val="single" w:sz="6" w:space="0" w:color="auto"/>
            </w:tcBorders>
            <w:vAlign w:val="center"/>
          </w:tcPr>
          <w:p w14:paraId="2C5BA893" w14:textId="61BD821F" w:rsidR="00B1020D" w:rsidRDefault="00B1020D" w:rsidP="00B1020D">
            <w:pPr>
              <w:spacing w:before="120" w:after="120"/>
              <w:rPr>
                <w:rFonts w:ascii="Arial" w:hAnsi="Arial" w:cs="Arial"/>
                <w:bCs/>
                <w:sz w:val="22"/>
                <w:szCs w:val="22"/>
              </w:rPr>
            </w:pPr>
            <w:r>
              <w:rPr>
                <w:rFonts w:ascii="Arial" w:hAnsi="Arial" w:cs="Arial"/>
                <w:bCs/>
                <w:sz w:val="22"/>
                <w:szCs w:val="22"/>
              </w:rPr>
              <w:lastRenderedPageBreak/>
              <w:t>Master’s degree</w:t>
            </w:r>
          </w:p>
        </w:tc>
        <w:tc>
          <w:tcPr>
            <w:tcW w:w="4500" w:type="dxa"/>
            <w:tcBorders>
              <w:top w:val="single" w:sz="4" w:space="0" w:color="auto"/>
              <w:left w:val="single" w:sz="6" w:space="0" w:color="auto"/>
              <w:bottom w:val="single" w:sz="6" w:space="0" w:color="auto"/>
              <w:right w:val="single" w:sz="6" w:space="0" w:color="auto"/>
            </w:tcBorders>
            <w:vAlign w:val="center"/>
          </w:tcPr>
          <w:p w14:paraId="535ECCFE" w14:textId="23873462" w:rsidR="00B1020D" w:rsidRDefault="00B1020D" w:rsidP="00B1020D">
            <w:pPr>
              <w:spacing w:before="120" w:after="120"/>
              <w:rPr>
                <w:rFonts w:ascii="Arial" w:hAnsi="Arial" w:cs="Arial"/>
                <w:bCs/>
                <w:sz w:val="22"/>
                <w:szCs w:val="22"/>
              </w:rPr>
            </w:pPr>
            <w:r>
              <w:rPr>
                <w:rFonts w:ascii="Arial" w:hAnsi="Arial" w:cs="Arial"/>
                <w:bCs/>
                <w:sz w:val="22"/>
                <w:szCs w:val="22"/>
              </w:rPr>
              <w:t>Pavement Design, Pavement Engineering, Geotechnical Engineering, Civil Engineering, or equivalent experience</w:t>
            </w:r>
          </w:p>
        </w:tc>
        <w:tc>
          <w:tcPr>
            <w:tcW w:w="1616" w:type="dxa"/>
            <w:tcBorders>
              <w:top w:val="single" w:sz="4" w:space="0" w:color="auto"/>
              <w:left w:val="single" w:sz="6" w:space="0" w:color="auto"/>
              <w:bottom w:val="single" w:sz="6" w:space="0" w:color="auto"/>
              <w:right w:val="single" w:sz="6" w:space="0" w:color="auto"/>
            </w:tcBorders>
            <w:vAlign w:val="center"/>
          </w:tcPr>
          <w:p w14:paraId="76EB11F3" w14:textId="29E293D7" w:rsidR="00B1020D" w:rsidRDefault="00B1020D" w:rsidP="00B1020D">
            <w:pPr>
              <w:spacing w:before="120" w:after="120"/>
              <w:rPr>
                <w:rFonts w:ascii="Arial" w:hAnsi="Arial" w:cs="Arial"/>
                <w:bCs/>
                <w:sz w:val="22"/>
                <w:szCs w:val="22"/>
              </w:rPr>
            </w:pPr>
            <w:r>
              <w:rPr>
                <w:rFonts w:ascii="Arial" w:hAnsi="Arial" w:cs="Arial"/>
                <w:bCs/>
                <w:sz w:val="22"/>
                <w:szCs w:val="22"/>
              </w:rPr>
              <w:t>Desirable</w:t>
            </w:r>
          </w:p>
        </w:tc>
      </w:tr>
      <w:tr w:rsidR="004E55EA" w:rsidRPr="003220BA" w14:paraId="7E2EB2CC" w14:textId="77777777" w:rsidTr="00B1020D">
        <w:trPr>
          <w:jc w:val="center"/>
        </w:trPr>
        <w:tc>
          <w:tcPr>
            <w:tcW w:w="3954" w:type="dxa"/>
            <w:tcBorders>
              <w:top w:val="single" w:sz="6" w:space="0" w:color="auto"/>
              <w:left w:val="single" w:sz="6" w:space="0" w:color="auto"/>
              <w:bottom w:val="single" w:sz="6" w:space="0" w:color="auto"/>
            </w:tcBorders>
            <w:vAlign w:val="center"/>
          </w:tcPr>
          <w:p w14:paraId="5049666D" w14:textId="3C5D606B" w:rsidR="000369A5" w:rsidRPr="00B1020D" w:rsidRDefault="00B1020D" w:rsidP="00B1020D">
            <w:pPr>
              <w:spacing w:before="120" w:after="120"/>
              <w:rPr>
                <w:rFonts w:ascii="Arial" w:hAnsi="Arial" w:cs="Arial"/>
                <w:bCs/>
                <w:sz w:val="22"/>
                <w:szCs w:val="22"/>
              </w:rPr>
            </w:pPr>
            <w:r>
              <w:rPr>
                <w:rFonts w:ascii="Arial" w:hAnsi="Arial" w:cs="Arial"/>
                <w:bCs/>
                <w:sz w:val="22"/>
                <w:szCs w:val="22"/>
              </w:rPr>
              <w:t>Professional body membership</w:t>
            </w:r>
          </w:p>
        </w:tc>
        <w:tc>
          <w:tcPr>
            <w:tcW w:w="4500" w:type="dxa"/>
            <w:tcBorders>
              <w:top w:val="single" w:sz="6" w:space="0" w:color="auto"/>
              <w:left w:val="single" w:sz="6" w:space="0" w:color="auto"/>
              <w:bottom w:val="single" w:sz="6" w:space="0" w:color="auto"/>
              <w:right w:val="single" w:sz="6" w:space="0" w:color="auto"/>
            </w:tcBorders>
            <w:vAlign w:val="center"/>
          </w:tcPr>
          <w:p w14:paraId="2AEB465B" w14:textId="338BDE50" w:rsidR="004E55EA" w:rsidRPr="00B1020D" w:rsidRDefault="009D5CAE" w:rsidP="00B1020D">
            <w:pPr>
              <w:spacing w:before="120" w:after="120"/>
              <w:rPr>
                <w:rFonts w:ascii="Arial" w:hAnsi="Arial" w:cs="Arial"/>
                <w:bCs/>
                <w:sz w:val="22"/>
                <w:szCs w:val="22"/>
              </w:rPr>
            </w:pPr>
            <w:r>
              <w:rPr>
                <w:rFonts w:ascii="Arial" w:hAnsi="Arial" w:cs="Arial"/>
                <w:bCs/>
                <w:sz w:val="22"/>
                <w:szCs w:val="22"/>
              </w:rPr>
              <w:t xml:space="preserve">Incorporated Engineer, (IEng), </w:t>
            </w:r>
            <w:r w:rsidR="00B1020D">
              <w:rPr>
                <w:rFonts w:ascii="Arial" w:hAnsi="Arial" w:cs="Arial"/>
                <w:bCs/>
                <w:sz w:val="22"/>
                <w:szCs w:val="22"/>
              </w:rPr>
              <w:t>Institute of Civil of Engineers, Chartered Institute of Highways and Transport, Institute of Highway Engineers or similar</w:t>
            </w:r>
          </w:p>
        </w:tc>
        <w:tc>
          <w:tcPr>
            <w:tcW w:w="1616" w:type="dxa"/>
            <w:tcBorders>
              <w:top w:val="single" w:sz="6" w:space="0" w:color="auto"/>
              <w:left w:val="single" w:sz="6" w:space="0" w:color="auto"/>
              <w:bottom w:val="single" w:sz="6" w:space="0" w:color="auto"/>
              <w:right w:val="single" w:sz="6" w:space="0" w:color="auto"/>
            </w:tcBorders>
            <w:vAlign w:val="center"/>
          </w:tcPr>
          <w:p w14:paraId="1EF6D3F9" w14:textId="0FFB583F" w:rsidR="004E55EA" w:rsidRPr="00B1020D" w:rsidRDefault="00B1020D" w:rsidP="00B1020D">
            <w:pPr>
              <w:spacing w:before="120" w:after="120"/>
              <w:rPr>
                <w:rFonts w:ascii="Arial" w:hAnsi="Arial" w:cs="Arial"/>
                <w:bCs/>
                <w:sz w:val="22"/>
                <w:szCs w:val="22"/>
              </w:rPr>
            </w:pPr>
            <w:r>
              <w:rPr>
                <w:rFonts w:ascii="Arial" w:hAnsi="Arial" w:cs="Arial"/>
                <w:bCs/>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70"/>
        <w:gridCol w:w="1842"/>
      </w:tblGrid>
      <w:tr w:rsidR="00880FAD" w:rsidRPr="00EF38BC" w14:paraId="6D5F8B2D" w14:textId="77777777" w:rsidTr="008A6247">
        <w:trPr>
          <w:cantSplit/>
          <w:trHeight w:val="368"/>
        </w:trPr>
        <w:tc>
          <w:tcPr>
            <w:tcW w:w="2689" w:type="dxa"/>
            <w:tcBorders>
              <w:right w:val="single" w:sz="4" w:space="0" w:color="auto"/>
            </w:tcBorders>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5670" w:type="dxa"/>
            <w:tcBorders>
              <w:left w:val="single" w:sz="4" w:space="0" w:color="auto"/>
            </w:tcBorders>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42"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7E7AA4" w:rsidRPr="00EF38BC" w14:paraId="69CA45A4" w14:textId="77777777" w:rsidTr="008A6247">
        <w:tc>
          <w:tcPr>
            <w:tcW w:w="2689" w:type="dxa"/>
            <w:vMerge w:val="restart"/>
          </w:tcPr>
          <w:p w14:paraId="056B310A" w14:textId="77777777" w:rsidR="007E7AA4" w:rsidRPr="00E566D6" w:rsidRDefault="007E7AA4"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5670" w:type="dxa"/>
          </w:tcPr>
          <w:p w14:paraId="7C45117D" w14:textId="3A90ACAA" w:rsidR="007E7AA4" w:rsidRPr="00E566D6" w:rsidRDefault="007E7AA4" w:rsidP="009A3F66">
            <w:pPr>
              <w:tabs>
                <w:tab w:val="right" w:leader="dot" w:pos="8080"/>
              </w:tabs>
              <w:rPr>
                <w:rFonts w:asciiTheme="minorHAnsi" w:hAnsiTheme="minorHAnsi" w:cstheme="minorHAnsi"/>
                <w:sz w:val="22"/>
                <w:szCs w:val="22"/>
              </w:rPr>
            </w:pPr>
            <w:r>
              <w:rPr>
                <w:rFonts w:asciiTheme="minorHAnsi" w:hAnsiTheme="minorHAnsi" w:cstheme="minorHAnsi"/>
                <w:sz w:val="22"/>
                <w:szCs w:val="22"/>
              </w:rPr>
              <w:t>In depth knowledge of materials used in the construction of highway infrastructure, namely asphalt, concrete and granular sub-base material.</w:t>
            </w:r>
          </w:p>
        </w:tc>
        <w:tc>
          <w:tcPr>
            <w:tcW w:w="1842" w:type="dxa"/>
          </w:tcPr>
          <w:p w14:paraId="00BCE5D8" w14:textId="2CED3F92" w:rsidR="007E7AA4" w:rsidRPr="00E566D6" w:rsidRDefault="007E7AA4" w:rsidP="009A3F66">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7E7AA4" w14:paraId="60D3BB33" w14:textId="77777777" w:rsidTr="008A6247">
        <w:trPr>
          <w:trHeight w:val="300"/>
        </w:trPr>
        <w:tc>
          <w:tcPr>
            <w:tcW w:w="2689" w:type="dxa"/>
            <w:vMerge/>
          </w:tcPr>
          <w:p w14:paraId="5D771CE5" w14:textId="15039352" w:rsidR="007E7AA4" w:rsidRDefault="007E7AA4" w:rsidP="2D6F1631">
            <w:pPr>
              <w:rPr>
                <w:rFonts w:asciiTheme="minorHAnsi" w:hAnsiTheme="minorHAnsi" w:cstheme="minorBidi"/>
                <w:b/>
                <w:bCs/>
                <w:sz w:val="22"/>
                <w:szCs w:val="22"/>
              </w:rPr>
            </w:pPr>
          </w:p>
        </w:tc>
        <w:tc>
          <w:tcPr>
            <w:tcW w:w="5670" w:type="dxa"/>
          </w:tcPr>
          <w:p w14:paraId="29DA63E4" w14:textId="5321BB91" w:rsidR="007E7AA4" w:rsidRDefault="007E7AA4" w:rsidP="2D6F1631">
            <w:pPr>
              <w:rPr>
                <w:rFonts w:asciiTheme="minorHAnsi" w:hAnsiTheme="minorHAnsi" w:cstheme="minorBidi"/>
                <w:sz w:val="22"/>
                <w:szCs w:val="22"/>
              </w:rPr>
            </w:pPr>
            <w:r>
              <w:rPr>
                <w:rFonts w:asciiTheme="minorHAnsi" w:hAnsiTheme="minorHAnsi" w:cstheme="minorBidi"/>
                <w:sz w:val="22"/>
                <w:szCs w:val="22"/>
              </w:rPr>
              <w:t>Understanding of construction methods commonly used in the construction of highway infrastructure.</w:t>
            </w:r>
          </w:p>
        </w:tc>
        <w:tc>
          <w:tcPr>
            <w:tcW w:w="1842" w:type="dxa"/>
          </w:tcPr>
          <w:p w14:paraId="38792FB5" w14:textId="56AF8288" w:rsidR="007E7AA4" w:rsidRDefault="007E7AA4" w:rsidP="2D6F1631">
            <w:pPr>
              <w:rPr>
                <w:rFonts w:asciiTheme="minorHAnsi" w:hAnsiTheme="minorHAnsi" w:cstheme="minorBidi"/>
                <w:sz w:val="22"/>
                <w:szCs w:val="22"/>
              </w:rPr>
            </w:pPr>
            <w:r>
              <w:rPr>
                <w:rFonts w:asciiTheme="minorHAnsi" w:hAnsiTheme="minorHAnsi" w:cstheme="minorBidi"/>
                <w:sz w:val="22"/>
                <w:szCs w:val="22"/>
              </w:rPr>
              <w:t>Essential</w:t>
            </w:r>
          </w:p>
        </w:tc>
      </w:tr>
      <w:tr w:rsidR="007E7AA4" w:rsidRPr="00EF38BC" w14:paraId="2F59F6B7" w14:textId="77777777" w:rsidTr="008A6247">
        <w:tc>
          <w:tcPr>
            <w:tcW w:w="2689" w:type="dxa"/>
            <w:vMerge/>
          </w:tcPr>
          <w:p w14:paraId="703EFEB2" w14:textId="77777777" w:rsidR="007E7AA4" w:rsidRPr="00E566D6" w:rsidRDefault="007E7AA4" w:rsidP="009A3F66">
            <w:pPr>
              <w:tabs>
                <w:tab w:val="right" w:leader="dot" w:pos="8080"/>
              </w:tabs>
              <w:spacing w:before="120"/>
              <w:rPr>
                <w:rFonts w:asciiTheme="minorHAnsi" w:hAnsiTheme="minorHAnsi" w:cstheme="minorHAnsi"/>
                <w:sz w:val="22"/>
                <w:szCs w:val="22"/>
              </w:rPr>
            </w:pPr>
          </w:p>
        </w:tc>
        <w:tc>
          <w:tcPr>
            <w:tcW w:w="5670" w:type="dxa"/>
          </w:tcPr>
          <w:p w14:paraId="3BBDEEE5" w14:textId="4EC4B75B" w:rsidR="007E7AA4" w:rsidRPr="00E566D6"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 depth knowledge of underlying soil properties and their impact upon road construction.</w:t>
            </w:r>
          </w:p>
        </w:tc>
        <w:tc>
          <w:tcPr>
            <w:tcW w:w="1842" w:type="dxa"/>
          </w:tcPr>
          <w:p w14:paraId="0082A754" w14:textId="31002BDA" w:rsidR="007E7AA4" w:rsidRPr="00E566D6"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7E7AA4" w:rsidRPr="00EF38BC" w14:paraId="20C35BC5" w14:textId="77777777" w:rsidTr="008A6247">
        <w:tc>
          <w:tcPr>
            <w:tcW w:w="2689" w:type="dxa"/>
            <w:vMerge/>
          </w:tcPr>
          <w:p w14:paraId="295AA2F9" w14:textId="77777777" w:rsidR="007E7AA4" w:rsidRPr="00E566D6" w:rsidRDefault="007E7AA4" w:rsidP="009A3F66">
            <w:pPr>
              <w:tabs>
                <w:tab w:val="right" w:leader="dot" w:pos="8080"/>
              </w:tabs>
              <w:spacing w:before="120"/>
              <w:rPr>
                <w:rFonts w:asciiTheme="minorHAnsi" w:hAnsiTheme="minorHAnsi" w:cstheme="minorHAnsi"/>
                <w:sz w:val="22"/>
                <w:szCs w:val="22"/>
              </w:rPr>
            </w:pPr>
          </w:p>
        </w:tc>
        <w:tc>
          <w:tcPr>
            <w:tcW w:w="5670" w:type="dxa"/>
          </w:tcPr>
          <w:p w14:paraId="152AFD4B" w14:textId="5D3A719A" w:rsidR="007E7AA4" w:rsidRPr="00E566D6"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Extensive knowledge and understanding of road recycling and soil stabilisation techniques</w:t>
            </w:r>
            <w:r w:rsidR="00A00962">
              <w:rPr>
                <w:rFonts w:asciiTheme="minorHAnsi" w:hAnsiTheme="minorHAnsi" w:cstheme="minorHAnsi"/>
                <w:sz w:val="22"/>
                <w:szCs w:val="22"/>
              </w:rPr>
              <w:t>, and Earthworks compaction methods.</w:t>
            </w:r>
          </w:p>
        </w:tc>
        <w:tc>
          <w:tcPr>
            <w:tcW w:w="1842" w:type="dxa"/>
          </w:tcPr>
          <w:p w14:paraId="2D43E560" w14:textId="416AE9FF" w:rsidR="007E7AA4" w:rsidRPr="00E566D6"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7E7AA4" w:rsidRPr="00EF38BC" w14:paraId="1AAE46E5" w14:textId="77777777" w:rsidTr="008A6247">
        <w:tc>
          <w:tcPr>
            <w:tcW w:w="2689" w:type="dxa"/>
            <w:vMerge/>
          </w:tcPr>
          <w:p w14:paraId="045FD2A4" w14:textId="77777777" w:rsidR="007E7AA4" w:rsidRPr="00E566D6" w:rsidRDefault="007E7AA4" w:rsidP="009A3F66">
            <w:pPr>
              <w:tabs>
                <w:tab w:val="right" w:leader="dot" w:pos="8080"/>
              </w:tabs>
              <w:spacing w:before="120"/>
              <w:rPr>
                <w:rFonts w:asciiTheme="minorHAnsi" w:hAnsiTheme="minorHAnsi" w:cstheme="minorHAnsi"/>
                <w:sz w:val="22"/>
                <w:szCs w:val="22"/>
              </w:rPr>
            </w:pPr>
          </w:p>
        </w:tc>
        <w:tc>
          <w:tcPr>
            <w:tcW w:w="5670" w:type="dxa"/>
          </w:tcPr>
          <w:p w14:paraId="6B2088CF" w14:textId="3F30231D" w:rsidR="007E7AA4"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Working knowledge of British Standards applicable to the construction of highway infrastructure.</w:t>
            </w:r>
          </w:p>
        </w:tc>
        <w:tc>
          <w:tcPr>
            <w:tcW w:w="1842" w:type="dxa"/>
          </w:tcPr>
          <w:p w14:paraId="5A2D65FB" w14:textId="42619BEB" w:rsidR="007E7AA4"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7E7AA4" w:rsidRPr="00EF38BC" w14:paraId="66D25976" w14:textId="77777777" w:rsidTr="008A6247">
        <w:tc>
          <w:tcPr>
            <w:tcW w:w="2689" w:type="dxa"/>
            <w:vMerge/>
          </w:tcPr>
          <w:p w14:paraId="7EAB0CAB" w14:textId="77777777" w:rsidR="007E7AA4" w:rsidRPr="00E566D6" w:rsidRDefault="007E7AA4" w:rsidP="009A3F66">
            <w:pPr>
              <w:tabs>
                <w:tab w:val="right" w:leader="dot" w:pos="8080"/>
              </w:tabs>
              <w:spacing w:before="120"/>
              <w:rPr>
                <w:rFonts w:asciiTheme="minorHAnsi" w:hAnsiTheme="minorHAnsi" w:cstheme="minorHAnsi"/>
                <w:sz w:val="22"/>
                <w:szCs w:val="22"/>
              </w:rPr>
            </w:pPr>
          </w:p>
        </w:tc>
        <w:tc>
          <w:tcPr>
            <w:tcW w:w="5670" w:type="dxa"/>
          </w:tcPr>
          <w:p w14:paraId="03120AF0" w14:textId="5922C9D5" w:rsidR="007E7AA4"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Understanding of the Design Manual for Roads and Bridges and the Specification for Highway Works.</w:t>
            </w:r>
          </w:p>
        </w:tc>
        <w:tc>
          <w:tcPr>
            <w:tcW w:w="1842" w:type="dxa"/>
          </w:tcPr>
          <w:p w14:paraId="663A54C1" w14:textId="025903D2" w:rsidR="007E7AA4" w:rsidRDefault="137550F7" w:rsidP="009A3F66">
            <w:pPr>
              <w:tabs>
                <w:tab w:val="right" w:leader="dot" w:pos="8080"/>
              </w:tabs>
              <w:spacing w:before="120"/>
              <w:rPr>
                <w:rFonts w:asciiTheme="minorHAnsi" w:hAnsiTheme="minorHAnsi" w:cstheme="minorBidi"/>
                <w:sz w:val="22"/>
                <w:szCs w:val="22"/>
              </w:rPr>
            </w:pPr>
            <w:r w:rsidRPr="36F19A10">
              <w:rPr>
                <w:rFonts w:asciiTheme="minorHAnsi" w:hAnsiTheme="minorHAnsi" w:cstheme="minorBidi"/>
                <w:sz w:val="22"/>
                <w:szCs w:val="22"/>
              </w:rPr>
              <w:t>Essential</w:t>
            </w:r>
          </w:p>
        </w:tc>
      </w:tr>
      <w:tr w:rsidR="007E7AA4" w:rsidRPr="00EF38BC" w14:paraId="6A76CC1B" w14:textId="77777777" w:rsidTr="008A6247">
        <w:tc>
          <w:tcPr>
            <w:tcW w:w="2689" w:type="dxa"/>
            <w:vMerge/>
          </w:tcPr>
          <w:p w14:paraId="444FE5D2" w14:textId="77777777" w:rsidR="007E7AA4" w:rsidRPr="00E566D6" w:rsidRDefault="007E7AA4" w:rsidP="009A3F66">
            <w:pPr>
              <w:tabs>
                <w:tab w:val="right" w:leader="dot" w:pos="8080"/>
              </w:tabs>
              <w:spacing w:before="120"/>
              <w:rPr>
                <w:rFonts w:asciiTheme="minorHAnsi" w:hAnsiTheme="minorHAnsi" w:cstheme="minorHAnsi"/>
                <w:sz w:val="22"/>
                <w:szCs w:val="22"/>
              </w:rPr>
            </w:pPr>
          </w:p>
        </w:tc>
        <w:tc>
          <w:tcPr>
            <w:tcW w:w="5670" w:type="dxa"/>
          </w:tcPr>
          <w:p w14:paraId="48309569" w14:textId="5C093F09" w:rsidR="007E7AA4"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Working knowledge of highway drainage</w:t>
            </w:r>
          </w:p>
        </w:tc>
        <w:tc>
          <w:tcPr>
            <w:tcW w:w="1842" w:type="dxa"/>
          </w:tcPr>
          <w:p w14:paraId="0AE0BB1C" w14:textId="362F9BA8" w:rsidR="007E7AA4" w:rsidRDefault="007E7AA4"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0D4BEC" w:rsidRPr="00EF38BC" w14:paraId="69AC5339" w14:textId="77777777" w:rsidTr="008A6247">
        <w:tc>
          <w:tcPr>
            <w:tcW w:w="2689" w:type="dxa"/>
            <w:vMerge w:val="restart"/>
          </w:tcPr>
          <w:p w14:paraId="064A8F7B" w14:textId="77777777" w:rsidR="000D4BEC" w:rsidRPr="00E566D6" w:rsidRDefault="000D4BEC"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5670" w:type="dxa"/>
          </w:tcPr>
          <w:p w14:paraId="756F2857" w14:textId="45FEBC90" w:rsidR="000D4BEC" w:rsidRPr="00E566D6" w:rsidRDefault="000D4BEC" w:rsidP="009A3F66">
            <w:pPr>
              <w:tabs>
                <w:tab w:val="right" w:leader="dot" w:pos="8080"/>
              </w:tabs>
              <w:rPr>
                <w:rFonts w:asciiTheme="minorHAnsi" w:hAnsiTheme="minorHAnsi" w:cstheme="minorHAnsi"/>
                <w:sz w:val="22"/>
                <w:szCs w:val="22"/>
              </w:rPr>
            </w:pPr>
            <w:r>
              <w:rPr>
                <w:rFonts w:asciiTheme="minorHAnsi" w:hAnsiTheme="minorHAnsi" w:cstheme="minorHAnsi"/>
                <w:sz w:val="22"/>
                <w:szCs w:val="22"/>
              </w:rPr>
              <w:t xml:space="preserve">Ability to review and interpret large volumes of technical data. </w:t>
            </w:r>
          </w:p>
        </w:tc>
        <w:tc>
          <w:tcPr>
            <w:tcW w:w="1842" w:type="dxa"/>
          </w:tcPr>
          <w:p w14:paraId="446B7676" w14:textId="6D601EC7" w:rsidR="000D4BEC" w:rsidRPr="00E566D6" w:rsidRDefault="000D4BEC" w:rsidP="009A3F66">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0D4BEC" w:rsidRPr="00EF38BC" w14:paraId="312C3F88" w14:textId="77777777" w:rsidTr="008A6247">
        <w:tc>
          <w:tcPr>
            <w:tcW w:w="2689" w:type="dxa"/>
            <w:vMerge/>
          </w:tcPr>
          <w:p w14:paraId="1301A10E" w14:textId="77777777" w:rsidR="000D4BEC" w:rsidRPr="00E566D6" w:rsidRDefault="000D4BEC" w:rsidP="00D55924">
            <w:pPr>
              <w:tabs>
                <w:tab w:val="right" w:leader="dot" w:pos="8080"/>
              </w:tabs>
              <w:spacing w:before="120"/>
              <w:rPr>
                <w:rFonts w:asciiTheme="minorHAnsi" w:hAnsiTheme="minorHAnsi" w:cstheme="minorHAnsi"/>
                <w:sz w:val="22"/>
                <w:szCs w:val="22"/>
              </w:rPr>
            </w:pPr>
          </w:p>
        </w:tc>
        <w:tc>
          <w:tcPr>
            <w:tcW w:w="5670" w:type="dxa"/>
          </w:tcPr>
          <w:p w14:paraId="408C466A" w14:textId="61A5D22F"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Negotiation and communication skills which enables the County to secure positive outcomes in the development process</w:t>
            </w:r>
          </w:p>
        </w:tc>
        <w:tc>
          <w:tcPr>
            <w:tcW w:w="1842" w:type="dxa"/>
          </w:tcPr>
          <w:p w14:paraId="6076306A" w14:textId="317D4505"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D4BEC" w:rsidRPr="00EF38BC" w14:paraId="3BB3B0D2" w14:textId="77777777" w:rsidTr="008A6247">
        <w:tc>
          <w:tcPr>
            <w:tcW w:w="2689" w:type="dxa"/>
            <w:vMerge/>
          </w:tcPr>
          <w:p w14:paraId="098E02E6" w14:textId="77777777" w:rsidR="000D4BEC" w:rsidRPr="00E566D6" w:rsidRDefault="000D4BEC" w:rsidP="00D55924">
            <w:pPr>
              <w:tabs>
                <w:tab w:val="right" w:leader="dot" w:pos="8080"/>
              </w:tabs>
              <w:spacing w:before="120"/>
              <w:rPr>
                <w:rFonts w:asciiTheme="minorHAnsi" w:hAnsiTheme="minorHAnsi" w:cstheme="minorHAnsi"/>
                <w:sz w:val="22"/>
                <w:szCs w:val="22"/>
              </w:rPr>
            </w:pPr>
          </w:p>
        </w:tc>
        <w:tc>
          <w:tcPr>
            <w:tcW w:w="5670" w:type="dxa"/>
          </w:tcPr>
          <w:p w14:paraId="2811F7C4" w14:textId="093A82E1"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Ability to make balanced decision based on site specific circumstances and County Council policy and objectives. </w:t>
            </w:r>
          </w:p>
        </w:tc>
        <w:tc>
          <w:tcPr>
            <w:tcW w:w="1842" w:type="dxa"/>
          </w:tcPr>
          <w:p w14:paraId="545AD53F" w14:textId="2B1B3C60"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D4BEC" w:rsidRPr="00EF38BC" w14:paraId="2F176C83" w14:textId="77777777" w:rsidTr="008A6247">
        <w:tc>
          <w:tcPr>
            <w:tcW w:w="2689" w:type="dxa"/>
            <w:vMerge/>
          </w:tcPr>
          <w:p w14:paraId="77934772" w14:textId="77777777" w:rsidR="000D4BEC" w:rsidRPr="00E566D6" w:rsidRDefault="000D4BEC" w:rsidP="00D55924">
            <w:pPr>
              <w:tabs>
                <w:tab w:val="right" w:leader="dot" w:pos="8080"/>
              </w:tabs>
              <w:spacing w:before="120"/>
              <w:rPr>
                <w:rFonts w:asciiTheme="minorHAnsi" w:hAnsiTheme="minorHAnsi" w:cstheme="minorHAnsi"/>
                <w:sz w:val="22"/>
                <w:szCs w:val="22"/>
              </w:rPr>
            </w:pPr>
          </w:p>
        </w:tc>
        <w:tc>
          <w:tcPr>
            <w:tcW w:w="5670" w:type="dxa"/>
          </w:tcPr>
          <w:p w14:paraId="6828D47A" w14:textId="324CAA94"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Capability to manage multiple workstreams in parallel and prioritise workloads based on priorities. </w:t>
            </w:r>
          </w:p>
        </w:tc>
        <w:tc>
          <w:tcPr>
            <w:tcW w:w="1842" w:type="dxa"/>
          </w:tcPr>
          <w:p w14:paraId="016C341A" w14:textId="64B21FD6" w:rsidR="000D4BEC" w:rsidRPr="00E566D6"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D4BEC" w:rsidRPr="00EF38BC" w14:paraId="10C939EF" w14:textId="77777777" w:rsidTr="008A6247">
        <w:tc>
          <w:tcPr>
            <w:tcW w:w="2689" w:type="dxa"/>
            <w:vMerge/>
          </w:tcPr>
          <w:p w14:paraId="4CAC0435" w14:textId="77777777" w:rsidR="000D4BEC" w:rsidRPr="00E566D6" w:rsidRDefault="000D4BEC" w:rsidP="00D55924">
            <w:pPr>
              <w:tabs>
                <w:tab w:val="right" w:leader="dot" w:pos="8080"/>
              </w:tabs>
              <w:spacing w:before="120"/>
              <w:rPr>
                <w:rFonts w:asciiTheme="minorHAnsi" w:hAnsiTheme="minorHAnsi" w:cstheme="minorHAnsi"/>
                <w:sz w:val="22"/>
                <w:szCs w:val="22"/>
              </w:rPr>
            </w:pPr>
          </w:p>
        </w:tc>
        <w:tc>
          <w:tcPr>
            <w:tcW w:w="5670" w:type="dxa"/>
          </w:tcPr>
          <w:p w14:paraId="7E2A3CFE" w14:textId="43B68C11" w:rsidR="000D4BEC"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Aptitude for risk-based decision making</w:t>
            </w:r>
          </w:p>
        </w:tc>
        <w:tc>
          <w:tcPr>
            <w:tcW w:w="1842" w:type="dxa"/>
          </w:tcPr>
          <w:p w14:paraId="3572D103" w14:textId="0B7D0851" w:rsidR="000D4BEC"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0D4BEC" w:rsidRPr="00EF38BC" w14:paraId="525DAB31" w14:textId="77777777" w:rsidTr="008A6247">
        <w:tc>
          <w:tcPr>
            <w:tcW w:w="2689" w:type="dxa"/>
            <w:vMerge/>
          </w:tcPr>
          <w:p w14:paraId="1B065167" w14:textId="77777777" w:rsidR="000D4BEC" w:rsidRPr="00E566D6" w:rsidRDefault="000D4BEC" w:rsidP="00D55924">
            <w:pPr>
              <w:tabs>
                <w:tab w:val="right" w:leader="dot" w:pos="8080"/>
              </w:tabs>
              <w:spacing w:before="120"/>
              <w:rPr>
                <w:rFonts w:asciiTheme="minorHAnsi" w:hAnsiTheme="minorHAnsi" w:cstheme="minorHAnsi"/>
                <w:sz w:val="22"/>
                <w:szCs w:val="22"/>
              </w:rPr>
            </w:pPr>
          </w:p>
        </w:tc>
        <w:tc>
          <w:tcPr>
            <w:tcW w:w="5670" w:type="dxa"/>
          </w:tcPr>
          <w:p w14:paraId="5C6DAF10" w14:textId="136AE204" w:rsidR="000D4BEC"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Ability to undertake material testing</w:t>
            </w:r>
          </w:p>
        </w:tc>
        <w:tc>
          <w:tcPr>
            <w:tcW w:w="1842" w:type="dxa"/>
          </w:tcPr>
          <w:p w14:paraId="76E1E010" w14:textId="7590C736" w:rsidR="000D4BEC" w:rsidRDefault="000D4BEC"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bl>
    <w:p w14:paraId="6F8539C7" w14:textId="77777777" w:rsidR="00F41630" w:rsidRDefault="00F41630">
      <w:r>
        <w:br w:type="page"/>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C37B94" w:rsidRPr="00EF38BC" w14:paraId="1315EEBC" w14:textId="77777777" w:rsidTr="2D6F1631">
        <w:tc>
          <w:tcPr>
            <w:tcW w:w="4112" w:type="dxa"/>
            <w:vMerge w:val="restart"/>
          </w:tcPr>
          <w:p w14:paraId="5506C611" w14:textId="5C742A3C" w:rsidR="00C37B94" w:rsidRPr="00E566D6" w:rsidRDefault="00C37B94" w:rsidP="00D55924">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lastRenderedPageBreak/>
              <w:t>Experience</w:t>
            </w:r>
          </w:p>
        </w:tc>
        <w:tc>
          <w:tcPr>
            <w:tcW w:w="4247" w:type="dxa"/>
          </w:tcPr>
          <w:p w14:paraId="7FE94CAB" w14:textId="0E742CB0" w:rsidR="00C37B94" w:rsidRPr="00E566D6" w:rsidRDefault="00C37B94" w:rsidP="00D55924">
            <w:pPr>
              <w:tabs>
                <w:tab w:val="right" w:leader="dot" w:pos="8080"/>
              </w:tabs>
              <w:rPr>
                <w:rFonts w:asciiTheme="minorHAnsi" w:hAnsiTheme="minorHAnsi" w:cstheme="minorHAnsi"/>
                <w:sz w:val="22"/>
                <w:szCs w:val="22"/>
              </w:rPr>
            </w:pPr>
            <w:r>
              <w:rPr>
                <w:rFonts w:asciiTheme="minorHAnsi" w:hAnsiTheme="minorHAnsi" w:cstheme="minorHAnsi"/>
                <w:sz w:val="22"/>
                <w:szCs w:val="22"/>
              </w:rPr>
              <w:t>Comprehensive experience working in materials testing and / or analysis.</w:t>
            </w:r>
            <w:r w:rsidRPr="00E566D6">
              <w:rPr>
                <w:rFonts w:asciiTheme="minorHAnsi" w:hAnsiTheme="minorHAnsi" w:cstheme="minorHAnsi"/>
                <w:sz w:val="22"/>
                <w:szCs w:val="22"/>
              </w:rPr>
              <w:t xml:space="preserve">  </w:t>
            </w:r>
          </w:p>
        </w:tc>
        <w:tc>
          <w:tcPr>
            <w:tcW w:w="1842" w:type="dxa"/>
          </w:tcPr>
          <w:p w14:paraId="342F3BCD" w14:textId="65384BBB" w:rsidR="00C37B94" w:rsidRPr="00E566D6" w:rsidRDefault="00C37B94" w:rsidP="00D55924">
            <w:pPr>
              <w:tabs>
                <w:tab w:val="right" w:leader="dot" w:pos="8080"/>
              </w:tabs>
              <w:rPr>
                <w:rFonts w:asciiTheme="minorHAnsi" w:hAnsiTheme="minorHAnsi" w:cstheme="minorHAnsi"/>
                <w:sz w:val="22"/>
                <w:szCs w:val="22"/>
              </w:rPr>
            </w:pPr>
            <w:r>
              <w:rPr>
                <w:rFonts w:asciiTheme="minorHAnsi" w:hAnsiTheme="minorHAnsi" w:cstheme="minorHAnsi"/>
                <w:sz w:val="22"/>
                <w:szCs w:val="22"/>
              </w:rPr>
              <w:t>Essential</w:t>
            </w:r>
          </w:p>
        </w:tc>
      </w:tr>
      <w:tr w:rsidR="00C37B94" w:rsidRPr="00EF38BC" w14:paraId="7601ED7F" w14:textId="77777777" w:rsidTr="2D6F1631">
        <w:tc>
          <w:tcPr>
            <w:tcW w:w="4112" w:type="dxa"/>
            <w:vMerge/>
          </w:tcPr>
          <w:p w14:paraId="4B744BCF" w14:textId="77777777" w:rsidR="00C37B94" w:rsidRPr="00E566D6" w:rsidRDefault="00C37B94" w:rsidP="00D55924">
            <w:pPr>
              <w:tabs>
                <w:tab w:val="right" w:leader="dot" w:pos="8080"/>
              </w:tabs>
              <w:spacing w:before="120"/>
              <w:rPr>
                <w:rFonts w:asciiTheme="minorHAnsi" w:hAnsiTheme="minorHAnsi" w:cstheme="minorHAnsi"/>
                <w:sz w:val="22"/>
                <w:szCs w:val="22"/>
              </w:rPr>
            </w:pPr>
          </w:p>
        </w:tc>
        <w:tc>
          <w:tcPr>
            <w:tcW w:w="4247" w:type="dxa"/>
          </w:tcPr>
          <w:p w14:paraId="478D0FCD" w14:textId="1AF6CCFC" w:rsidR="00C37B94" w:rsidRPr="00E566D6" w:rsidRDefault="00C37B94"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Working in the design and delivery of highway infrastructure, namely pavement design.</w:t>
            </w:r>
          </w:p>
        </w:tc>
        <w:tc>
          <w:tcPr>
            <w:tcW w:w="1842" w:type="dxa"/>
          </w:tcPr>
          <w:p w14:paraId="09A40FE1" w14:textId="6164FF65" w:rsidR="00C37B94" w:rsidRPr="00E566D6" w:rsidRDefault="00C37B94"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DE54A5" w:rsidRPr="00EF38BC" w14:paraId="7EAE2884" w14:textId="77777777" w:rsidTr="2D6F1631">
        <w:tc>
          <w:tcPr>
            <w:tcW w:w="4112" w:type="dxa"/>
            <w:vMerge/>
          </w:tcPr>
          <w:p w14:paraId="1105A1B2" w14:textId="77777777" w:rsidR="00DE54A5" w:rsidRPr="00E566D6" w:rsidRDefault="00DE54A5" w:rsidP="00D55924">
            <w:pPr>
              <w:tabs>
                <w:tab w:val="right" w:leader="dot" w:pos="8080"/>
              </w:tabs>
              <w:spacing w:before="120"/>
              <w:rPr>
                <w:rFonts w:asciiTheme="minorHAnsi" w:hAnsiTheme="minorHAnsi" w:cstheme="minorHAnsi"/>
                <w:sz w:val="22"/>
                <w:szCs w:val="22"/>
              </w:rPr>
            </w:pPr>
          </w:p>
        </w:tc>
        <w:tc>
          <w:tcPr>
            <w:tcW w:w="4247" w:type="dxa"/>
          </w:tcPr>
          <w:p w14:paraId="2018E3BC" w14:textId="671CF3E4" w:rsidR="00DE54A5" w:rsidRDefault="00DE54A5"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Experience working with a diverse group of stakeholders.</w:t>
            </w:r>
          </w:p>
        </w:tc>
        <w:tc>
          <w:tcPr>
            <w:tcW w:w="1842" w:type="dxa"/>
          </w:tcPr>
          <w:p w14:paraId="75E5745E" w14:textId="316D51E7" w:rsidR="00DE54A5" w:rsidRDefault="00DE54A5"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C37B94" w:rsidRPr="00EF38BC" w14:paraId="675B4DA8" w14:textId="77777777" w:rsidTr="2D6F1631">
        <w:tc>
          <w:tcPr>
            <w:tcW w:w="4112" w:type="dxa"/>
            <w:vMerge/>
          </w:tcPr>
          <w:p w14:paraId="43011B45" w14:textId="77777777" w:rsidR="00C37B94" w:rsidRPr="00E566D6" w:rsidRDefault="00C37B94" w:rsidP="00D55924">
            <w:pPr>
              <w:tabs>
                <w:tab w:val="right" w:leader="dot" w:pos="8080"/>
              </w:tabs>
              <w:spacing w:before="120"/>
              <w:rPr>
                <w:rFonts w:asciiTheme="minorHAnsi" w:hAnsiTheme="minorHAnsi" w:cstheme="minorHAnsi"/>
                <w:sz w:val="22"/>
                <w:szCs w:val="22"/>
              </w:rPr>
            </w:pPr>
          </w:p>
        </w:tc>
        <w:tc>
          <w:tcPr>
            <w:tcW w:w="4247" w:type="dxa"/>
          </w:tcPr>
          <w:p w14:paraId="1C8002E8" w14:textId="3D4B2394" w:rsidR="00C37B94" w:rsidRPr="00E566D6" w:rsidRDefault="00C37B94"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Experience in Local Government</w:t>
            </w:r>
            <w:r w:rsidR="0007422E">
              <w:rPr>
                <w:rFonts w:asciiTheme="minorHAnsi" w:hAnsiTheme="minorHAnsi" w:cstheme="minorHAnsi"/>
                <w:sz w:val="22"/>
                <w:szCs w:val="22"/>
              </w:rPr>
              <w:t xml:space="preserve"> or another public sector environment. </w:t>
            </w:r>
          </w:p>
        </w:tc>
        <w:tc>
          <w:tcPr>
            <w:tcW w:w="1842" w:type="dxa"/>
          </w:tcPr>
          <w:p w14:paraId="75FC33C7" w14:textId="5AE6838F" w:rsidR="00C37B94" w:rsidRPr="00E566D6" w:rsidRDefault="00C37B94" w:rsidP="00D5592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C37B94" w:rsidRPr="00EF38BC" w14:paraId="1EB00D53" w14:textId="77777777" w:rsidTr="2D6F1631">
        <w:tc>
          <w:tcPr>
            <w:tcW w:w="4112" w:type="dxa"/>
            <w:vMerge/>
          </w:tcPr>
          <w:p w14:paraId="7128D6E9" w14:textId="77777777" w:rsidR="00C37B94" w:rsidRPr="00E566D6" w:rsidRDefault="00C37B94" w:rsidP="00F41630">
            <w:pPr>
              <w:tabs>
                <w:tab w:val="right" w:leader="dot" w:pos="8080"/>
              </w:tabs>
              <w:spacing w:before="120"/>
              <w:rPr>
                <w:rFonts w:asciiTheme="minorHAnsi" w:hAnsiTheme="minorHAnsi" w:cstheme="minorHAnsi"/>
                <w:sz w:val="22"/>
                <w:szCs w:val="22"/>
              </w:rPr>
            </w:pPr>
          </w:p>
        </w:tc>
        <w:tc>
          <w:tcPr>
            <w:tcW w:w="4247" w:type="dxa"/>
          </w:tcPr>
          <w:p w14:paraId="46C99909" w14:textId="6DF1519F" w:rsidR="00C37B94" w:rsidRPr="00E566D6" w:rsidRDefault="00C37B94" w:rsidP="00F41630">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Working in a lab-based testing environment.</w:t>
            </w:r>
          </w:p>
        </w:tc>
        <w:tc>
          <w:tcPr>
            <w:tcW w:w="1842" w:type="dxa"/>
          </w:tcPr>
          <w:p w14:paraId="3F00D9CB" w14:textId="4FB704F1" w:rsidR="00C37B94" w:rsidRPr="00E566D6" w:rsidRDefault="00C37B94" w:rsidP="00F41630">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F41630" w:rsidRPr="00EF38BC" w14:paraId="0651DC49" w14:textId="77777777" w:rsidTr="2D6F1631">
        <w:tc>
          <w:tcPr>
            <w:tcW w:w="4112" w:type="dxa"/>
          </w:tcPr>
          <w:p w14:paraId="34BF0351" w14:textId="5F0DDA1A" w:rsidR="00F41630" w:rsidRPr="00E566D6" w:rsidRDefault="00F41630" w:rsidP="00F41630">
            <w:pPr>
              <w:tabs>
                <w:tab w:val="right" w:leader="dot" w:pos="8080"/>
              </w:tabs>
              <w:spacing w:before="120"/>
              <w:rPr>
                <w:rFonts w:asciiTheme="minorHAnsi" w:hAnsiTheme="minorHAnsi" w:cstheme="minorBidi"/>
                <w:sz w:val="20"/>
                <w:szCs w:val="20"/>
              </w:rPr>
            </w:pPr>
            <w:r w:rsidRPr="4066598D">
              <w:rPr>
                <w:rFonts w:asciiTheme="minorHAnsi" w:hAnsiTheme="minorHAnsi" w:cstheme="minorBidi"/>
                <w:sz w:val="20"/>
                <w:szCs w:val="20"/>
              </w:rPr>
              <w:t>Equality, Diversity and Inclusion (applies to all roles</w:t>
            </w:r>
            <w:r>
              <w:rPr>
                <w:rFonts w:asciiTheme="minorHAnsi" w:hAnsiTheme="minorHAnsi" w:cstheme="minorBidi"/>
                <w:sz w:val="20"/>
                <w:szCs w:val="20"/>
              </w:rPr>
              <w:t>)</w:t>
            </w:r>
            <w:r w:rsidRPr="4066598D">
              <w:rPr>
                <w:rFonts w:asciiTheme="minorHAnsi" w:hAnsiTheme="minorHAnsi" w:cstheme="minorBidi"/>
                <w:sz w:val="20"/>
                <w:szCs w:val="20"/>
              </w:rPr>
              <w:t>.</w:t>
            </w:r>
          </w:p>
        </w:tc>
        <w:tc>
          <w:tcPr>
            <w:tcW w:w="4247" w:type="dxa"/>
          </w:tcPr>
          <w:p w14:paraId="4DA9AEF4" w14:textId="77777777" w:rsidR="00F41630"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r w:rsidRPr="4066598D">
              <w:rPr>
                <w:rFonts w:asciiTheme="minorHAnsi" w:eastAsia="Calibri" w:hAnsiTheme="minorHAnsi" w:cstheme="minorBidi"/>
                <w:color w:val="000000" w:themeColor="text1"/>
                <w:sz w:val="20"/>
                <w:szCs w:val="20"/>
                <w:lang w:eastAsia="en-US"/>
              </w:rPr>
              <w:t xml:space="preserve">Ability to demonstrate awareness and understanding of equality, diversity and inclusion and how this applies to this role.  </w:t>
            </w:r>
          </w:p>
          <w:p w14:paraId="24B26DD0" w14:textId="77777777" w:rsidR="00F41630" w:rsidRPr="00E566D6"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p>
        </w:tc>
        <w:tc>
          <w:tcPr>
            <w:tcW w:w="1842" w:type="dxa"/>
          </w:tcPr>
          <w:p w14:paraId="55BB1CEF" w14:textId="3AABEE9C" w:rsidR="00F41630" w:rsidRPr="007F58DE"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r w:rsidRPr="007F58DE">
              <w:rPr>
                <w:rFonts w:asciiTheme="minorHAnsi" w:eastAsia="Calibri" w:hAnsiTheme="minorHAnsi" w:cstheme="minorBidi"/>
                <w:color w:val="000000" w:themeColor="text1"/>
                <w:sz w:val="20"/>
                <w:szCs w:val="20"/>
                <w:lang w:eastAsia="en-US"/>
              </w:rPr>
              <w:t>Essential</w:t>
            </w:r>
          </w:p>
        </w:tc>
      </w:tr>
      <w:tr w:rsidR="00F41630" w:rsidRPr="00EF38BC" w14:paraId="74E5A458" w14:textId="77777777" w:rsidTr="2D6F1631">
        <w:tc>
          <w:tcPr>
            <w:tcW w:w="4112" w:type="dxa"/>
          </w:tcPr>
          <w:p w14:paraId="4948E155" w14:textId="19C5FDBF" w:rsidR="00F41630" w:rsidRPr="4066598D" w:rsidRDefault="00F41630" w:rsidP="00F41630">
            <w:pPr>
              <w:tabs>
                <w:tab w:val="right" w:leader="dot" w:pos="8080"/>
              </w:tabs>
              <w:spacing w:before="120"/>
              <w:rPr>
                <w:rFonts w:asciiTheme="minorHAnsi" w:hAnsiTheme="minorHAnsi" w:cstheme="minorBidi"/>
                <w:sz w:val="20"/>
                <w:szCs w:val="20"/>
              </w:rPr>
            </w:pPr>
            <w:r>
              <w:rPr>
                <w:rFonts w:asciiTheme="minorHAnsi" w:hAnsiTheme="minorHAnsi" w:cstheme="minorBidi"/>
                <w:sz w:val="20"/>
                <w:szCs w:val="20"/>
              </w:rPr>
              <w:t>Net Zero (applies to all roles).</w:t>
            </w:r>
          </w:p>
        </w:tc>
        <w:tc>
          <w:tcPr>
            <w:tcW w:w="4247" w:type="dxa"/>
          </w:tcPr>
          <w:p w14:paraId="122E50AA" w14:textId="77777777" w:rsidR="00F41630"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r>
              <w:rPr>
                <w:rFonts w:asciiTheme="minorHAnsi" w:eastAsia="Calibri" w:hAnsiTheme="minorHAnsi" w:cstheme="minorBidi"/>
                <w:color w:val="000000" w:themeColor="text1"/>
                <w:sz w:val="20"/>
                <w:szCs w:val="20"/>
                <w:lang w:eastAsia="en-US"/>
              </w:rPr>
              <w:t xml:space="preserve">Ability to contribute towards our commitment of becoming a net zero organisation.  </w:t>
            </w:r>
          </w:p>
          <w:p w14:paraId="36C3DE3C" w14:textId="611268B2" w:rsidR="00F41630" w:rsidRPr="4066598D"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p>
        </w:tc>
        <w:tc>
          <w:tcPr>
            <w:tcW w:w="1842" w:type="dxa"/>
          </w:tcPr>
          <w:p w14:paraId="0BF94556" w14:textId="71899E79" w:rsidR="00F41630" w:rsidRPr="007F58DE"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r w:rsidRPr="16DA99CE">
              <w:rPr>
                <w:rFonts w:asciiTheme="minorHAnsi" w:eastAsia="Calibri" w:hAnsiTheme="minorHAnsi" w:cstheme="minorBidi"/>
                <w:color w:val="000000" w:themeColor="text1"/>
                <w:sz w:val="20"/>
                <w:szCs w:val="20"/>
                <w:lang w:eastAsia="en-US"/>
              </w:rPr>
              <w:t>Essential</w:t>
            </w:r>
          </w:p>
        </w:tc>
      </w:tr>
      <w:tr w:rsidR="00F41630" w:rsidRPr="00EF38BC" w14:paraId="41E20E2A" w14:textId="77777777" w:rsidTr="2D6F1631">
        <w:tc>
          <w:tcPr>
            <w:tcW w:w="4112" w:type="dxa"/>
          </w:tcPr>
          <w:p w14:paraId="0D7C9FBC" w14:textId="237F5E34" w:rsidR="00F41630" w:rsidRPr="00E566D6" w:rsidRDefault="00F41630" w:rsidP="00F41630">
            <w:pPr>
              <w:tabs>
                <w:tab w:val="right" w:leader="dot" w:pos="8080"/>
              </w:tabs>
              <w:spacing w:before="120"/>
              <w:rPr>
                <w:rFonts w:asciiTheme="minorHAnsi" w:hAnsiTheme="minorHAnsi" w:cstheme="minorBidi"/>
                <w:sz w:val="20"/>
                <w:szCs w:val="20"/>
              </w:rPr>
            </w:pPr>
            <w:r>
              <w:rPr>
                <w:rFonts w:asciiTheme="minorHAnsi" w:hAnsiTheme="minorHAnsi" w:cstheme="minorBidi"/>
                <w:sz w:val="20"/>
                <w:szCs w:val="20"/>
              </w:rPr>
              <w:t>Travel</w:t>
            </w:r>
          </w:p>
        </w:tc>
        <w:tc>
          <w:tcPr>
            <w:tcW w:w="4247" w:type="dxa"/>
          </w:tcPr>
          <w:p w14:paraId="5BE2208B" w14:textId="77777777" w:rsidR="00F41630" w:rsidRDefault="00F41630" w:rsidP="00F41630">
            <w:pPr>
              <w:tabs>
                <w:tab w:val="right" w:leader="dot" w:pos="8080"/>
              </w:tabs>
              <w:spacing w:before="120"/>
              <w:rPr>
                <w:rFonts w:asciiTheme="minorHAnsi" w:hAnsiTheme="minorHAnsi" w:cstheme="minorHAnsi"/>
                <w:sz w:val="20"/>
                <w:szCs w:val="20"/>
              </w:rPr>
            </w:pPr>
            <w:r>
              <w:rPr>
                <w:rFonts w:asciiTheme="minorHAnsi" w:hAnsiTheme="minorHAnsi" w:cstheme="minorHAnsi"/>
                <w:sz w:val="20"/>
                <w:szCs w:val="20"/>
              </w:rPr>
              <w:t xml:space="preserve">Ability to travel throughout the County, and on occasion outside the County, often in areas which are remote and difficult to access via public transport. </w:t>
            </w:r>
          </w:p>
          <w:p w14:paraId="2A5CFA1E" w14:textId="1EF5EF18" w:rsidR="00F41630" w:rsidRPr="00E566D6" w:rsidRDefault="00F41630" w:rsidP="00F41630">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sz w:val="20"/>
                <w:szCs w:val="20"/>
              </w:rPr>
              <w:t xml:space="preserve">  </w:t>
            </w:r>
          </w:p>
        </w:tc>
        <w:tc>
          <w:tcPr>
            <w:tcW w:w="1842" w:type="dxa"/>
          </w:tcPr>
          <w:p w14:paraId="42F4BC21" w14:textId="04712D86" w:rsidR="00F41630" w:rsidRPr="007F58DE" w:rsidRDefault="00F41630" w:rsidP="00F41630">
            <w:pPr>
              <w:tabs>
                <w:tab w:val="right" w:leader="dot" w:pos="8080"/>
              </w:tabs>
              <w:spacing w:before="120"/>
              <w:rPr>
                <w:rFonts w:asciiTheme="minorHAnsi" w:eastAsia="Calibri" w:hAnsiTheme="minorHAnsi" w:cstheme="minorBidi"/>
                <w:color w:val="000000" w:themeColor="text1"/>
                <w:sz w:val="20"/>
                <w:szCs w:val="20"/>
                <w:lang w:eastAsia="en-US"/>
              </w:rPr>
            </w:pPr>
            <w:r w:rsidRPr="007F58DE">
              <w:rPr>
                <w:rFonts w:asciiTheme="minorHAnsi" w:eastAsia="Calibri" w:hAnsiTheme="minorHAnsi" w:cstheme="minorBidi"/>
                <w:color w:val="000000" w:themeColor="text1"/>
                <w:sz w:val="20"/>
                <w:szCs w:val="20"/>
                <w:lang w:eastAsia="en-US"/>
              </w:rPr>
              <w:t xml:space="preserve">Essential </w:t>
            </w:r>
          </w:p>
        </w:tc>
      </w:tr>
    </w:tbl>
    <w:p w14:paraId="3A75C9D4" w14:textId="77777777" w:rsidR="000047FE" w:rsidRDefault="000047FE" w:rsidP="00964CF8">
      <w:pPr>
        <w:tabs>
          <w:tab w:val="left" w:pos="-720"/>
        </w:tabs>
        <w:suppressAutoHyphens/>
        <w:spacing w:before="120" w:after="120"/>
        <w:ind w:left="-425"/>
        <w:rPr>
          <w:rFonts w:asciiTheme="minorHAnsi" w:hAnsiTheme="minorHAnsi" w:cstheme="minorHAnsi"/>
          <w:b/>
          <w:color w:val="003399"/>
          <w:spacing w:val="-2"/>
        </w:rPr>
      </w:pPr>
    </w:p>
    <w:p w14:paraId="5F10C4B5" w14:textId="07148D1A"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tcPr>
          <w:p w14:paraId="5E5AA7BC" w14:textId="77777777" w:rsidR="00880FAD" w:rsidRPr="009055EA" w:rsidRDefault="00880FAD" w:rsidP="008E4089">
            <w:pPr>
              <w:spacing w:after="120"/>
              <w:rPr>
                <w:rFonts w:asciiTheme="minorHAnsi" w:hAnsiTheme="minorHAnsi" w:cstheme="minorHAnsi"/>
                <w:strike/>
                <w:sz w:val="22"/>
                <w:szCs w:val="22"/>
              </w:rPr>
            </w:pPr>
            <w:r w:rsidRPr="009055EA">
              <w:rPr>
                <w:rFonts w:asciiTheme="minorHAnsi" w:hAnsiTheme="minorHAnsi" w:cstheme="minorHAnsi"/>
                <w:strike/>
                <w:sz w:val="22"/>
                <w:szCs w:val="22"/>
              </w:rPr>
              <w:t>Standard</w:t>
            </w:r>
          </w:p>
        </w:tc>
      </w:tr>
      <w:tr w:rsidR="00880FAD" w:rsidRPr="007500E2" w14:paraId="12B35705" w14:textId="77777777" w:rsidTr="00516E32">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tcPr>
          <w:p w14:paraId="3FCDE6E0" w14:textId="77777777" w:rsidR="00880FAD" w:rsidRPr="009055EA" w:rsidRDefault="00880FAD" w:rsidP="008E4089">
            <w:pPr>
              <w:rPr>
                <w:rFonts w:asciiTheme="minorHAnsi" w:hAnsiTheme="minorHAnsi" w:cstheme="minorHAnsi"/>
                <w:strike/>
                <w:sz w:val="22"/>
                <w:szCs w:val="22"/>
              </w:rPr>
            </w:pPr>
            <w:r w:rsidRPr="009055EA">
              <w:rPr>
                <w:rFonts w:asciiTheme="minorHAnsi" w:hAnsiTheme="minorHAnsi" w:cstheme="minorHAnsi"/>
                <w:strike/>
                <w:sz w:val="22"/>
                <w:szCs w:val="22"/>
              </w:rPr>
              <w:t>Enhanced</w:t>
            </w:r>
          </w:p>
        </w:tc>
        <w:tc>
          <w:tcPr>
            <w:tcW w:w="2918" w:type="dxa"/>
          </w:tcPr>
          <w:p w14:paraId="591EEE93" w14:textId="77777777" w:rsidR="00880FAD" w:rsidRPr="009055EA" w:rsidRDefault="00880FAD" w:rsidP="008E4089">
            <w:pPr>
              <w:rPr>
                <w:rFonts w:asciiTheme="minorHAnsi" w:hAnsiTheme="minorHAnsi" w:cstheme="minorHAnsi"/>
                <w:strike/>
                <w:sz w:val="22"/>
                <w:szCs w:val="22"/>
              </w:rPr>
            </w:pPr>
            <w:r w:rsidRPr="009055EA">
              <w:rPr>
                <w:rFonts w:asciiTheme="minorHAnsi" w:hAnsiTheme="minorHAnsi" w:cstheme="minorHAnsi"/>
                <w:strike/>
                <w:sz w:val="22"/>
                <w:szCs w:val="22"/>
              </w:rPr>
              <w:t>Enhanced with barred list checks</w:t>
            </w:r>
          </w:p>
        </w:tc>
      </w:tr>
    </w:tbl>
    <w:p w14:paraId="6DB0EEFA" w14:textId="77777777" w:rsidR="000047FE" w:rsidRDefault="000047FE" w:rsidP="00964CF8">
      <w:pPr>
        <w:tabs>
          <w:tab w:val="left" w:pos="-720"/>
        </w:tabs>
        <w:suppressAutoHyphens/>
        <w:spacing w:before="120" w:after="120"/>
        <w:ind w:left="-425"/>
        <w:rPr>
          <w:rFonts w:asciiTheme="minorHAnsi" w:hAnsiTheme="minorHAnsi" w:cstheme="minorHAnsi"/>
          <w:b/>
          <w:color w:val="003399"/>
          <w:spacing w:val="-2"/>
        </w:rPr>
      </w:pPr>
    </w:p>
    <w:p w14:paraId="6E7B94E1" w14:textId="53CCAA5F"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4FB5F448" w14:textId="3B5356D3" w:rsidR="002E142F" w:rsidRPr="009055EA" w:rsidRDefault="002E142F" w:rsidP="008E4089">
            <w:pPr>
              <w:rPr>
                <w:rFonts w:asciiTheme="minorHAnsi" w:hAnsiTheme="minorHAnsi" w:cstheme="minorHAnsi"/>
                <w:strike/>
                <w:sz w:val="22"/>
                <w:szCs w:val="22"/>
              </w:rPr>
            </w:pPr>
            <w:r w:rsidRPr="009055EA">
              <w:rPr>
                <w:rFonts w:asciiTheme="minorHAnsi" w:hAnsiTheme="minorHAnsi" w:cstheme="minorHAnsi"/>
                <w:strike/>
                <w:sz w:val="22"/>
                <w:szCs w:val="22"/>
              </w:rPr>
              <w:t>Fixed</w:t>
            </w:r>
          </w:p>
        </w:tc>
        <w:tc>
          <w:tcPr>
            <w:tcW w:w="1089" w:type="dxa"/>
          </w:tcPr>
          <w:p w14:paraId="1269588F" w14:textId="6FF956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tc>
        <w:tc>
          <w:tcPr>
            <w:tcW w:w="1088" w:type="dxa"/>
          </w:tcPr>
          <w:p w14:paraId="6E7716BA" w14:textId="77777777" w:rsidR="002E142F" w:rsidRPr="009055EA" w:rsidRDefault="002E142F" w:rsidP="008E4089">
            <w:pPr>
              <w:rPr>
                <w:rFonts w:asciiTheme="minorHAnsi" w:hAnsiTheme="minorHAnsi" w:cstheme="minorHAnsi"/>
                <w:strike/>
                <w:sz w:val="22"/>
                <w:szCs w:val="22"/>
              </w:rPr>
            </w:pPr>
            <w:r w:rsidRPr="009055EA">
              <w:rPr>
                <w:rFonts w:asciiTheme="minorHAnsi" w:hAnsiTheme="minorHAnsi" w:cstheme="minorHAnsi"/>
                <w:strike/>
                <w:sz w:val="22"/>
                <w:szCs w:val="22"/>
              </w:rPr>
              <w:t>Field</w:t>
            </w:r>
          </w:p>
        </w:tc>
        <w:tc>
          <w:tcPr>
            <w:tcW w:w="1089" w:type="dxa"/>
          </w:tcPr>
          <w:p w14:paraId="13587C02" w14:textId="702ACBF3" w:rsidR="002E142F" w:rsidRPr="009055EA" w:rsidRDefault="002E142F" w:rsidP="008E4089">
            <w:pPr>
              <w:rPr>
                <w:rFonts w:asciiTheme="minorHAnsi" w:hAnsiTheme="minorHAnsi" w:cstheme="minorHAnsi"/>
                <w:strike/>
                <w:sz w:val="22"/>
                <w:szCs w:val="22"/>
              </w:rPr>
            </w:pPr>
            <w:r w:rsidRPr="009055EA">
              <w:rPr>
                <w:rFonts w:asciiTheme="minorHAnsi" w:hAnsiTheme="minorHAnsi" w:cstheme="minorHAnsi"/>
                <w:strike/>
                <w:sz w:val="22"/>
                <w:szCs w:val="22"/>
              </w:rPr>
              <w:t>Remote</w:t>
            </w:r>
          </w:p>
        </w:tc>
        <w:tc>
          <w:tcPr>
            <w:tcW w:w="1089" w:type="dxa"/>
          </w:tcPr>
          <w:p w14:paraId="69AFC0EC" w14:textId="6071287A" w:rsidR="002E142F" w:rsidRPr="009055EA" w:rsidRDefault="002E142F" w:rsidP="008E4089">
            <w:pPr>
              <w:rPr>
                <w:rFonts w:asciiTheme="minorHAnsi" w:hAnsiTheme="minorHAnsi" w:cstheme="minorHAnsi"/>
                <w:strike/>
                <w:sz w:val="22"/>
                <w:szCs w:val="22"/>
              </w:rPr>
            </w:pPr>
            <w:r w:rsidRPr="009055EA">
              <w:rPr>
                <w:rFonts w:asciiTheme="minorHAnsi" w:hAnsiTheme="minorHAnsi" w:cstheme="minorHAnsi"/>
                <w:strike/>
                <w:sz w:val="22"/>
                <w:szCs w:val="22"/>
              </w:rPr>
              <w:t>Mobile</w:t>
            </w:r>
          </w:p>
        </w:tc>
      </w:tr>
    </w:tbl>
    <w:p w14:paraId="247F5B2C" w14:textId="742CED7E" w:rsidR="00C94259" w:rsidRPr="00EF38BC" w:rsidRDefault="00C94259" w:rsidP="00D40B8B">
      <w:pPr>
        <w:rPr>
          <w:rFonts w:ascii="Arial" w:hAnsi="Arial" w:cs="Arial"/>
          <w:sz w:val="22"/>
          <w:szCs w:val="22"/>
        </w:rPr>
      </w:pPr>
    </w:p>
    <w:sectPr w:rsidR="00C94259" w:rsidRPr="00EF38BC" w:rsidSect="00516E32">
      <w:headerReference w:type="default" r:id="rId13"/>
      <w:footerReference w:type="default" r:id="rId14"/>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5DE9" w14:textId="77777777" w:rsidR="00750111" w:rsidRDefault="00750111" w:rsidP="00661C2F">
      <w:r>
        <w:separator/>
      </w:r>
    </w:p>
  </w:endnote>
  <w:endnote w:type="continuationSeparator" w:id="0">
    <w:p w14:paraId="5007C0C5" w14:textId="77777777" w:rsidR="00750111" w:rsidRDefault="00750111" w:rsidP="00661C2F">
      <w:r>
        <w:continuationSeparator/>
      </w:r>
    </w:p>
  </w:endnote>
  <w:endnote w:type="continuationNotice" w:id="1">
    <w:p w14:paraId="12904909" w14:textId="77777777" w:rsidR="00750111" w:rsidRDefault="00750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5D6ACA97" w:rsidR="00061A09" w:rsidRPr="00061A09" w:rsidRDefault="00803B2D" w:rsidP="00061A09">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B159" w14:textId="77777777" w:rsidR="00750111" w:rsidRDefault="00750111" w:rsidP="00661C2F">
      <w:r>
        <w:separator/>
      </w:r>
    </w:p>
  </w:footnote>
  <w:footnote w:type="continuationSeparator" w:id="0">
    <w:p w14:paraId="79BB0681" w14:textId="77777777" w:rsidR="00750111" w:rsidRDefault="00750111" w:rsidP="00661C2F">
      <w:r>
        <w:continuationSeparator/>
      </w:r>
    </w:p>
  </w:footnote>
  <w:footnote w:type="continuationNotice" w:id="1">
    <w:p w14:paraId="6309CC86" w14:textId="77777777" w:rsidR="00750111" w:rsidRDefault="00750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E1851"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31B379C"/>
    <w:multiLevelType w:val="hybridMultilevel"/>
    <w:tmpl w:val="23DC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22CF3"/>
    <w:multiLevelType w:val="hybridMultilevel"/>
    <w:tmpl w:val="2A100E9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117267132">
    <w:abstractNumId w:val="8"/>
  </w:num>
  <w:num w:numId="2" w16cid:durableId="1586257078">
    <w:abstractNumId w:val="1"/>
  </w:num>
  <w:num w:numId="3" w16cid:durableId="1370374148">
    <w:abstractNumId w:val="7"/>
  </w:num>
  <w:num w:numId="4" w16cid:durableId="1160463947">
    <w:abstractNumId w:val="0"/>
  </w:num>
  <w:num w:numId="5" w16cid:durableId="938756987">
    <w:abstractNumId w:val="6"/>
  </w:num>
  <w:num w:numId="6" w16cid:durableId="125006506">
    <w:abstractNumId w:val="2"/>
  </w:num>
  <w:num w:numId="7" w16cid:durableId="249319892">
    <w:abstractNumId w:val="9"/>
  </w:num>
  <w:num w:numId="8" w16cid:durableId="1972592597">
    <w:abstractNumId w:val="3"/>
  </w:num>
  <w:num w:numId="9" w16cid:durableId="1049375398">
    <w:abstractNumId w:val="4"/>
  </w:num>
  <w:num w:numId="10" w16cid:durableId="1530679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47FE"/>
    <w:rsid w:val="00017426"/>
    <w:rsid w:val="00024EB3"/>
    <w:rsid w:val="00030774"/>
    <w:rsid w:val="00030E11"/>
    <w:rsid w:val="000334BD"/>
    <w:rsid w:val="000369A5"/>
    <w:rsid w:val="00036ACA"/>
    <w:rsid w:val="0004111E"/>
    <w:rsid w:val="0004272F"/>
    <w:rsid w:val="000506A9"/>
    <w:rsid w:val="00055096"/>
    <w:rsid w:val="00061A09"/>
    <w:rsid w:val="00064952"/>
    <w:rsid w:val="00064EC4"/>
    <w:rsid w:val="00072983"/>
    <w:rsid w:val="0007422E"/>
    <w:rsid w:val="00085779"/>
    <w:rsid w:val="000905ED"/>
    <w:rsid w:val="00091069"/>
    <w:rsid w:val="000953D3"/>
    <w:rsid w:val="000B3446"/>
    <w:rsid w:val="000C2501"/>
    <w:rsid w:val="000D4BEC"/>
    <w:rsid w:val="000D5624"/>
    <w:rsid w:val="000D76FB"/>
    <w:rsid w:val="000E43C3"/>
    <w:rsid w:val="000E5523"/>
    <w:rsid w:val="000F5631"/>
    <w:rsid w:val="000F6D46"/>
    <w:rsid w:val="00101E33"/>
    <w:rsid w:val="0010246E"/>
    <w:rsid w:val="00102864"/>
    <w:rsid w:val="001064E7"/>
    <w:rsid w:val="001338AF"/>
    <w:rsid w:val="001428FB"/>
    <w:rsid w:val="0014505C"/>
    <w:rsid w:val="0014782A"/>
    <w:rsid w:val="001754C9"/>
    <w:rsid w:val="001A167C"/>
    <w:rsid w:val="001A3F22"/>
    <w:rsid w:val="001A6B4A"/>
    <w:rsid w:val="001B1137"/>
    <w:rsid w:val="001C5FEC"/>
    <w:rsid w:val="001C6F5B"/>
    <w:rsid w:val="001D46E8"/>
    <w:rsid w:val="001D500A"/>
    <w:rsid w:val="001E7D8C"/>
    <w:rsid w:val="001E7F97"/>
    <w:rsid w:val="001F323A"/>
    <w:rsid w:val="00207FA5"/>
    <w:rsid w:val="002137DF"/>
    <w:rsid w:val="00225772"/>
    <w:rsid w:val="00226C67"/>
    <w:rsid w:val="002344C9"/>
    <w:rsid w:val="00235A2E"/>
    <w:rsid w:val="002404F5"/>
    <w:rsid w:val="002436FE"/>
    <w:rsid w:val="00244C73"/>
    <w:rsid w:val="00257643"/>
    <w:rsid w:val="0026087A"/>
    <w:rsid w:val="00260BA6"/>
    <w:rsid w:val="002777DD"/>
    <w:rsid w:val="002853AA"/>
    <w:rsid w:val="00293092"/>
    <w:rsid w:val="00293129"/>
    <w:rsid w:val="002A39AE"/>
    <w:rsid w:val="002B1FB1"/>
    <w:rsid w:val="002B5C1B"/>
    <w:rsid w:val="002C01BB"/>
    <w:rsid w:val="002D62EE"/>
    <w:rsid w:val="002E142F"/>
    <w:rsid w:val="002E26F4"/>
    <w:rsid w:val="002E2CA1"/>
    <w:rsid w:val="002F4CAD"/>
    <w:rsid w:val="0031567A"/>
    <w:rsid w:val="00317FDE"/>
    <w:rsid w:val="003220BA"/>
    <w:rsid w:val="003304E2"/>
    <w:rsid w:val="0033339E"/>
    <w:rsid w:val="003353DF"/>
    <w:rsid w:val="00343BC7"/>
    <w:rsid w:val="003533E2"/>
    <w:rsid w:val="00361F05"/>
    <w:rsid w:val="00372A07"/>
    <w:rsid w:val="00381353"/>
    <w:rsid w:val="00391A24"/>
    <w:rsid w:val="00394617"/>
    <w:rsid w:val="003A1096"/>
    <w:rsid w:val="003A757E"/>
    <w:rsid w:val="003C0734"/>
    <w:rsid w:val="003D2B82"/>
    <w:rsid w:val="003E5395"/>
    <w:rsid w:val="0045222A"/>
    <w:rsid w:val="0045705F"/>
    <w:rsid w:val="00471AF1"/>
    <w:rsid w:val="00473167"/>
    <w:rsid w:val="00496C7A"/>
    <w:rsid w:val="004A236C"/>
    <w:rsid w:val="004A7E9D"/>
    <w:rsid w:val="004B163C"/>
    <w:rsid w:val="004B5750"/>
    <w:rsid w:val="004E55EA"/>
    <w:rsid w:val="004F0CF9"/>
    <w:rsid w:val="004F47FA"/>
    <w:rsid w:val="004F6C7C"/>
    <w:rsid w:val="004F6DCE"/>
    <w:rsid w:val="00511E7A"/>
    <w:rsid w:val="0051621B"/>
    <w:rsid w:val="00516E32"/>
    <w:rsid w:val="00526F49"/>
    <w:rsid w:val="005319FB"/>
    <w:rsid w:val="00541983"/>
    <w:rsid w:val="005449B4"/>
    <w:rsid w:val="00550CDF"/>
    <w:rsid w:val="005516C3"/>
    <w:rsid w:val="00557C21"/>
    <w:rsid w:val="00560D84"/>
    <w:rsid w:val="0056201A"/>
    <w:rsid w:val="00571032"/>
    <w:rsid w:val="005732B0"/>
    <w:rsid w:val="005874A0"/>
    <w:rsid w:val="00593798"/>
    <w:rsid w:val="00595B5E"/>
    <w:rsid w:val="005A7615"/>
    <w:rsid w:val="005C56AA"/>
    <w:rsid w:val="005D12E3"/>
    <w:rsid w:val="005D6793"/>
    <w:rsid w:val="00600363"/>
    <w:rsid w:val="006067D9"/>
    <w:rsid w:val="00641C44"/>
    <w:rsid w:val="00661C2F"/>
    <w:rsid w:val="0066381E"/>
    <w:rsid w:val="00677734"/>
    <w:rsid w:val="006A6457"/>
    <w:rsid w:val="006B2F58"/>
    <w:rsid w:val="006B4983"/>
    <w:rsid w:val="006D4EE0"/>
    <w:rsid w:val="006D57B8"/>
    <w:rsid w:val="006F0044"/>
    <w:rsid w:val="006F236A"/>
    <w:rsid w:val="006F3AD8"/>
    <w:rsid w:val="00705DB6"/>
    <w:rsid w:val="00710935"/>
    <w:rsid w:val="00712E1E"/>
    <w:rsid w:val="00712F88"/>
    <w:rsid w:val="00715327"/>
    <w:rsid w:val="00725BAE"/>
    <w:rsid w:val="0073303A"/>
    <w:rsid w:val="0073616F"/>
    <w:rsid w:val="00746CB6"/>
    <w:rsid w:val="007500E2"/>
    <w:rsid w:val="00750111"/>
    <w:rsid w:val="00751D9D"/>
    <w:rsid w:val="00767D60"/>
    <w:rsid w:val="00770830"/>
    <w:rsid w:val="0077385D"/>
    <w:rsid w:val="00782A2F"/>
    <w:rsid w:val="00783E39"/>
    <w:rsid w:val="00785480"/>
    <w:rsid w:val="00792765"/>
    <w:rsid w:val="007944D2"/>
    <w:rsid w:val="007B3AD8"/>
    <w:rsid w:val="007D1773"/>
    <w:rsid w:val="007E0C87"/>
    <w:rsid w:val="007E11F6"/>
    <w:rsid w:val="007E7AA4"/>
    <w:rsid w:val="007E7B56"/>
    <w:rsid w:val="007F58DE"/>
    <w:rsid w:val="007F7B42"/>
    <w:rsid w:val="00803B2D"/>
    <w:rsid w:val="0080544A"/>
    <w:rsid w:val="008101E6"/>
    <w:rsid w:val="00816CE1"/>
    <w:rsid w:val="00821910"/>
    <w:rsid w:val="008419C3"/>
    <w:rsid w:val="00844DEC"/>
    <w:rsid w:val="0084CFFA"/>
    <w:rsid w:val="00853E93"/>
    <w:rsid w:val="00854917"/>
    <w:rsid w:val="00860910"/>
    <w:rsid w:val="00861AFC"/>
    <w:rsid w:val="00872E3C"/>
    <w:rsid w:val="00880FAD"/>
    <w:rsid w:val="0088166C"/>
    <w:rsid w:val="008A6247"/>
    <w:rsid w:val="008A6C41"/>
    <w:rsid w:val="008D50CA"/>
    <w:rsid w:val="008D6456"/>
    <w:rsid w:val="008E4089"/>
    <w:rsid w:val="008E5A0E"/>
    <w:rsid w:val="008E5ABC"/>
    <w:rsid w:val="008F2CA1"/>
    <w:rsid w:val="008F4813"/>
    <w:rsid w:val="008F74DA"/>
    <w:rsid w:val="00904E75"/>
    <w:rsid w:val="009055EA"/>
    <w:rsid w:val="00911043"/>
    <w:rsid w:val="0091328E"/>
    <w:rsid w:val="009235D6"/>
    <w:rsid w:val="00924125"/>
    <w:rsid w:val="00932B69"/>
    <w:rsid w:val="00935970"/>
    <w:rsid w:val="0094716D"/>
    <w:rsid w:val="00950727"/>
    <w:rsid w:val="00952033"/>
    <w:rsid w:val="0096352C"/>
    <w:rsid w:val="00964CF8"/>
    <w:rsid w:val="009667A3"/>
    <w:rsid w:val="009704B1"/>
    <w:rsid w:val="0097171F"/>
    <w:rsid w:val="009728C9"/>
    <w:rsid w:val="009735F2"/>
    <w:rsid w:val="00976B07"/>
    <w:rsid w:val="00981CED"/>
    <w:rsid w:val="00993F40"/>
    <w:rsid w:val="00996162"/>
    <w:rsid w:val="009A3F66"/>
    <w:rsid w:val="009A4933"/>
    <w:rsid w:val="009C2BB3"/>
    <w:rsid w:val="009D0973"/>
    <w:rsid w:val="009D5CAE"/>
    <w:rsid w:val="009D72C4"/>
    <w:rsid w:val="009E4FDD"/>
    <w:rsid w:val="00A00962"/>
    <w:rsid w:val="00A30E28"/>
    <w:rsid w:val="00A32A3B"/>
    <w:rsid w:val="00A4048E"/>
    <w:rsid w:val="00A43E60"/>
    <w:rsid w:val="00A66515"/>
    <w:rsid w:val="00A804DD"/>
    <w:rsid w:val="00A872F2"/>
    <w:rsid w:val="00A94A1C"/>
    <w:rsid w:val="00AA1CFE"/>
    <w:rsid w:val="00AB49F9"/>
    <w:rsid w:val="00AB5188"/>
    <w:rsid w:val="00AC5432"/>
    <w:rsid w:val="00AF78B9"/>
    <w:rsid w:val="00B0194C"/>
    <w:rsid w:val="00B06D50"/>
    <w:rsid w:val="00B1020D"/>
    <w:rsid w:val="00B202CE"/>
    <w:rsid w:val="00B21183"/>
    <w:rsid w:val="00B46EB9"/>
    <w:rsid w:val="00B5159A"/>
    <w:rsid w:val="00B53863"/>
    <w:rsid w:val="00B5642E"/>
    <w:rsid w:val="00B62F48"/>
    <w:rsid w:val="00B6394F"/>
    <w:rsid w:val="00B811B9"/>
    <w:rsid w:val="00BA767B"/>
    <w:rsid w:val="00BA7A58"/>
    <w:rsid w:val="00BB74FA"/>
    <w:rsid w:val="00BC182E"/>
    <w:rsid w:val="00BD59E4"/>
    <w:rsid w:val="00BE5FAB"/>
    <w:rsid w:val="00BF63E2"/>
    <w:rsid w:val="00C03507"/>
    <w:rsid w:val="00C21CDB"/>
    <w:rsid w:val="00C2647A"/>
    <w:rsid w:val="00C31E53"/>
    <w:rsid w:val="00C324AA"/>
    <w:rsid w:val="00C356A8"/>
    <w:rsid w:val="00C36D12"/>
    <w:rsid w:val="00C37B94"/>
    <w:rsid w:val="00C6721B"/>
    <w:rsid w:val="00C71F64"/>
    <w:rsid w:val="00C775F4"/>
    <w:rsid w:val="00C936EC"/>
    <w:rsid w:val="00C94259"/>
    <w:rsid w:val="00CA2774"/>
    <w:rsid w:val="00CA498F"/>
    <w:rsid w:val="00CA59E7"/>
    <w:rsid w:val="00CB1CA9"/>
    <w:rsid w:val="00CE754B"/>
    <w:rsid w:val="00CF674D"/>
    <w:rsid w:val="00D02DF7"/>
    <w:rsid w:val="00D328A5"/>
    <w:rsid w:val="00D40B8B"/>
    <w:rsid w:val="00D416B4"/>
    <w:rsid w:val="00D449AE"/>
    <w:rsid w:val="00D44AE6"/>
    <w:rsid w:val="00D52E06"/>
    <w:rsid w:val="00D55924"/>
    <w:rsid w:val="00D6160B"/>
    <w:rsid w:val="00D64EAF"/>
    <w:rsid w:val="00D653DD"/>
    <w:rsid w:val="00D87C57"/>
    <w:rsid w:val="00D87D2E"/>
    <w:rsid w:val="00D90D1A"/>
    <w:rsid w:val="00DB29DC"/>
    <w:rsid w:val="00DC157E"/>
    <w:rsid w:val="00DC23FA"/>
    <w:rsid w:val="00DE075C"/>
    <w:rsid w:val="00DE5131"/>
    <w:rsid w:val="00DE54A5"/>
    <w:rsid w:val="00DE7669"/>
    <w:rsid w:val="00DE7CD4"/>
    <w:rsid w:val="00DF09BB"/>
    <w:rsid w:val="00DF5270"/>
    <w:rsid w:val="00E10D27"/>
    <w:rsid w:val="00E13112"/>
    <w:rsid w:val="00E1718D"/>
    <w:rsid w:val="00E2157E"/>
    <w:rsid w:val="00E34E0D"/>
    <w:rsid w:val="00E471C1"/>
    <w:rsid w:val="00E528EC"/>
    <w:rsid w:val="00E56235"/>
    <w:rsid w:val="00E566D6"/>
    <w:rsid w:val="00E65ADB"/>
    <w:rsid w:val="00E65DEF"/>
    <w:rsid w:val="00E71E27"/>
    <w:rsid w:val="00E74D7C"/>
    <w:rsid w:val="00E75D49"/>
    <w:rsid w:val="00E87ABC"/>
    <w:rsid w:val="00E87C88"/>
    <w:rsid w:val="00E90E6F"/>
    <w:rsid w:val="00EB75FD"/>
    <w:rsid w:val="00ED146B"/>
    <w:rsid w:val="00ED6146"/>
    <w:rsid w:val="00EE3934"/>
    <w:rsid w:val="00EF38BC"/>
    <w:rsid w:val="00EF506E"/>
    <w:rsid w:val="00F12DCE"/>
    <w:rsid w:val="00F22758"/>
    <w:rsid w:val="00F25EDB"/>
    <w:rsid w:val="00F41630"/>
    <w:rsid w:val="00F5011E"/>
    <w:rsid w:val="00F503E5"/>
    <w:rsid w:val="00F5402F"/>
    <w:rsid w:val="00F55335"/>
    <w:rsid w:val="00F651DA"/>
    <w:rsid w:val="00F8035A"/>
    <w:rsid w:val="00F868CD"/>
    <w:rsid w:val="00FB7BF9"/>
    <w:rsid w:val="00FC0B43"/>
    <w:rsid w:val="00FE557B"/>
    <w:rsid w:val="00FF28D6"/>
    <w:rsid w:val="038CD96B"/>
    <w:rsid w:val="0CC1C317"/>
    <w:rsid w:val="137550F7"/>
    <w:rsid w:val="14DC341F"/>
    <w:rsid w:val="14E06BBC"/>
    <w:rsid w:val="16A69323"/>
    <w:rsid w:val="16DA99CE"/>
    <w:rsid w:val="1AE85EF5"/>
    <w:rsid w:val="1E3FFC09"/>
    <w:rsid w:val="1EB9A8CA"/>
    <w:rsid w:val="2105F7E6"/>
    <w:rsid w:val="269613E2"/>
    <w:rsid w:val="28EFD21E"/>
    <w:rsid w:val="2CEC2EF7"/>
    <w:rsid w:val="2D6F1631"/>
    <w:rsid w:val="2DFF8A29"/>
    <w:rsid w:val="3429C0A1"/>
    <w:rsid w:val="3449C7E2"/>
    <w:rsid w:val="36BC5DF0"/>
    <w:rsid w:val="36F19A10"/>
    <w:rsid w:val="4066598D"/>
    <w:rsid w:val="4E7D965B"/>
    <w:rsid w:val="56F1E5F9"/>
    <w:rsid w:val="5DA8196C"/>
    <w:rsid w:val="5FE57BAC"/>
    <w:rsid w:val="6B87A512"/>
    <w:rsid w:val="6BB60A0B"/>
    <w:rsid w:val="6CE8B1AA"/>
    <w:rsid w:val="6D7F38CD"/>
    <w:rsid w:val="6E51E5DD"/>
    <w:rsid w:val="6F1B092E"/>
    <w:rsid w:val="753D0939"/>
    <w:rsid w:val="77012ED1"/>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502A8AF2-A73E-4191-A467-2D8DF13E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customStyle="1" w:styleId="normaltextrun">
    <w:name w:val="normaltextrun"/>
    <w:basedOn w:val="DefaultParagraphFont"/>
    <w:rsid w:val="009D72C4"/>
  </w:style>
  <w:style w:type="paragraph" w:styleId="ListParagraph">
    <w:name w:val="List Paragraph"/>
    <w:basedOn w:val="Normal"/>
    <w:uiPriority w:val="34"/>
    <w:qFormat/>
    <w:rsid w:val="00CB1CA9"/>
    <w:pPr>
      <w:ind w:left="720"/>
      <w:contextualSpacing/>
    </w:pPr>
  </w:style>
  <w:style w:type="paragraph" w:styleId="Revision">
    <w:name w:val="Revision"/>
    <w:hidden/>
    <w:uiPriority w:val="99"/>
    <w:semiHidden/>
    <w:rsid w:val="00496C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candpcc.sharepoint.com/:w:/r/sites/CCCHR/Shared%20Documents/Recruitment/Recruitment%20Guidance/Workforce%20expenditure%20control%20panel%20submissions%20dates.docx?d=w76ed1d07f1e04f5ba72b6f946595a155&amp;csf=1&amp;web=1&amp;e=dZHQl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y.authorisation@cambridgeshir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7" ma:contentTypeDescription="Create a new document." ma:contentTypeScope="" ma:versionID="13dee71cce7a7a8fe64c6952f61d4fa3">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1a9302d5637d20768d39e538a9d58db1"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a6ae2f78-f16f-4bc9-801e-4a7bbc97c885"/>
    <ds:schemaRef ds:uri="d71bf0d0-b545-4b8c-b2e2-4f7f3220326b"/>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1E33DDB-A639-4FB7-A021-5E94E5C0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9594</Characters>
  <Application>Microsoft Office Word</Application>
  <DocSecurity>0</DocSecurity>
  <Lines>309</Lines>
  <Paragraphs>158</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Shane Luck</cp:lastModifiedBy>
  <cp:revision>2</cp:revision>
  <cp:lastPrinted>2014-11-24T17:56:00Z</cp:lastPrinted>
  <dcterms:created xsi:type="dcterms:W3CDTF">2026-04-16T09:31:00Z</dcterms:created>
  <dcterms:modified xsi:type="dcterms:W3CDTF">2026-04-16T09:31:00Z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docLang">
    <vt:lpwstr>en</vt:lpwstr>
  </property>
</Properties>
</file>