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687" w14:textId="5EEB1FD0" w:rsidR="006D70EF" w:rsidRPr="002E328C" w:rsidRDefault="00A92343">
      <w:pPr>
        <w:pStyle w:val="Heading1"/>
        <w:spacing w:before="41"/>
        <w:ind w:left="19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Corporate </w:t>
      </w:r>
      <w:r w:rsidR="00F17ED3" w:rsidRPr="002E328C">
        <w:rPr>
          <w:rFonts w:asciiTheme="minorHAnsi" w:hAnsiTheme="minorHAnsi" w:cstheme="minorHAnsi"/>
        </w:rPr>
        <w:t xml:space="preserve">Category Manager </w:t>
      </w:r>
      <w:r w:rsidR="00165942" w:rsidRPr="002E328C">
        <w:rPr>
          <w:rFonts w:asciiTheme="minorHAnsi" w:hAnsiTheme="minorHAnsi" w:cstheme="minorHAnsi"/>
        </w:rPr>
        <w:t>North Northamptonshire</w:t>
      </w:r>
    </w:p>
    <w:p w14:paraId="5E74B3BD" w14:textId="77777777" w:rsidR="00165942" w:rsidRPr="002E328C" w:rsidRDefault="00165942">
      <w:pPr>
        <w:pStyle w:val="Heading1"/>
        <w:spacing w:before="41"/>
        <w:ind w:left="1972"/>
        <w:rPr>
          <w:rFonts w:asciiTheme="minorHAnsi" w:hAnsiTheme="minorHAnsi" w:cstheme="minorHAnsi"/>
        </w:rPr>
      </w:pPr>
    </w:p>
    <w:p w14:paraId="7C7BDCF5" w14:textId="77777777" w:rsidR="006D70EF" w:rsidRPr="002E328C" w:rsidRDefault="006D70EF">
      <w:pPr>
        <w:pStyle w:val="BodyText"/>
        <w:rPr>
          <w:rFonts w:asciiTheme="minorHAnsi" w:hAnsiTheme="minorHAnsi" w:cstheme="minorHAnsi"/>
          <w:sz w:val="20"/>
        </w:rPr>
      </w:pPr>
    </w:p>
    <w:p w14:paraId="36D893D9" w14:textId="77777777" w:rsidR="006D70EF" w:rsidRPr="002E328C" w:rsidRDefault="006D70EF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54C50DBC" w14:textId="77777777" w:rsidR="006D70EF" w:rsidRPr="002E328C" w:rsidRDefault="00F17ED3">
      <w:pPr>
        <w:spacing w:before="41"/>
        <w:ind w:left="503"/>
        <w:rPr>
          <w:rFonts w:asciiTheme="minorHAnsi" w:hAnsiTheme="minorHAnsi" w:cstheme="minorHAnsi"/>
          <w:b/>
          <w:sz w:val="19"/>
        </w:rPr>
      </w:pPr>
      <w:r w:rsidRPr="002E328C">
        <w:rPr>
          <w:rFonts w:asciiTheme="minorHAnsi" w:hAnsiTheme="minorHAnsi" w:cstheme="minorHAnsi"/>
          <w:b/>
          <w:sz w:val="24"/>
        </w:rPr>
        <w:t>E</w:t>
      </w:r>
      <w:r w:rsidRPr="002E328C">
        <w:rPr>
          <w:rFonts w:asciiTheme="minorHAnsi" w:hAnsiTheme="minorHAnsi" w:cstheme="minorHAnsi"/>
          <w:b/>
          <w:sz w:val="19"/>
        </w:rPr>
        <w:t>DUCATION</w:t>
      </w:r>
      <w:r w:rsidRPr="002E328C">
        <w:rPr>
          <w:rFonts w:asciiTheme="minorHAnsi" w:hAnsiTheme="minorHAnsi" w:cstheme="minorHAnsi"/>
          <w:b/>
          <w:sz w:val="24"/>
        </w:rPr>
        <w:t>, K</w:t>
      </w:r>
      <w:r w:rsidRPr="002E328C">
        <w:rPr>
          <w:rFonts w:asciiTheme="minorHAnsi" w:hAnsiTheme="minorHAnsi" w:cstheme="minorHAnsi"/>
          <w:b/>
          <w:sz w:val="19"/>
        </w:rPr>
        <w:t>NOWLEDGE</w:t>
      </w:r>
      <w:r w:rsidRPr="002E328C">
        <w:rPr>
          <w:rFonts w:asciiTheme="minorHAnsi" w:hAnsiTheme="minorHAnsi" w:cstheme="minorHAnsi"/>
          <w:b/>
          <w:sz w:val="24"/>
        </w:rPr>
        <w:t>, E</w:t>
      </w:r>
      <w:r w:rsidRPr="002E328C">
        <w:rPr>
          <w:rFonts w:asciiTheme="minorHAnsi" w:hAnsiTheme="minorHAnsi" w:cstheme="minorHAnsi"/>
          <w:b/>
          <w:sz w:val="19"/>
        </w:rPr>
        <w:t xml:space="preserve">XPERIENCE AND </w:t>
      </w:r>
      <w:r w:rsidRPr="002E328C">
        <w:rPr>
          <w:rFonts w:asciiTheme="minorHAnsi" w:hAnsiTheme="minorHAnsi" w:cstheme="minorHAnsi"/>
          <w:b/>
          <w:sz w:val="24"/>
        </w:rPr>
        <w:t>S</w:t>
      </w:r>
      <w:r w:rsidRPr="002E328C">
        <w:rPr>
          <w:rFonts w:asciiTheme="minorHAnsi" w:hAnsiTheme="minorHAnsi" w:cstheme="minorHAnsi"/>
          <w:b/>
          <w:sz w:val="19"/>
        </w:rPr>
        <w:t>KILLS</w:t>
      </w:r>
    </w:p>
    <w:p w14:paraId="26ACD58B" w14:textId="77777777" w:rsidR="006D70EF" w:rsidRPr="002E328C" w:rsidRDefault="006D70EF">
      <w:pPr>
        <w:pStyle w:val="BodyText"/>
        <w:spacing w:before="10"/>
        <w:rPr>
          <w:rFonts w:asciiTheme="minorHAnsi" w:hAnsiTheme="minorHAnsi" w:cstheme="minorHAnsi"/>
          <w:b/>
          <w:sz w:val="23"/>
        </w:rPr>
      </w:pPr>
    </w:p>
    <w:p w14:paraId="4F88ECB8" w14:textId="77777777" w:rsidR="006D70EF" w:rsidRPr="002E328C" w:rsidRDefault="00F17ED3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ind w:right="1555"/>
        <w:rPr>
          <w:rFonts w:asciiTheme="minorHAnsi" w:hAnsiTheme="minorHAnsi" w:cstheme="minorHAnsi"/>
          <w:sz w:val="24"/>
          <w:szCs w:val="24"/>
        </w:rPr>
      </w:pPr>
      <w:r w:rsidRPr="002E328C">
        <w:rPr>
          <w:rFonts w:asciiTheme="minorHAnsi" w:hAnsiTheme="minorHAnsi" w:cstheme="minorHAnsi"/>
          <w:sz w:val="24"/>
          <w:szCs w:val="24"/>
        </w:rPr>
        <w:t xml:space="preserve">Degree and/or holds or </w:t>
      </w:r>
      <w:proofErr w:type="gramStart"/>
      <w:r w:rsidRPr="002E328C">
        <w:rPr>
          <w:rFonts w:asciiTheme="minorHAnsi" w:hAnsiTheme="minorHAnsi" w:cstheme="minorHAnsi"/>
          <w:sz w:val="24"/>
          <w:szCs w:val="24"/>
        </w:rPr>
        <w:t>studying</w:t>
      </w:r>
      <w:proofErr w:type="gramEnd"/>
      <w:r w:rsidRPr="002E328C">
        <w:rPr>
          <w:rFonts w:asciiTheme="minorHAnsi" w:hAnsiTheme="minorHAnsi" w:cstheme="minorHAnsi"/>
          <w:sz w:val="24"/>
          <w:szCs w:val="24"/>
        </w:rPr>
        <w:t xml:space="preserve"> for full Professional Membership of the Chartered Institute of Purchasing and Supply</w:t>
      </w:r>
      <w:r w:rsidRPr="002E32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28C">
        <w:rPr>
          <w:rFonts w:asciiTheme="minorHAnsi" w:hAnsiTheme="minorHAnsi" w:cstheme="minorHAnsi"/>
          <w:sz w:val="24"/>
          <w:szCs w:val="24"/>
        </w:rPr>
        <w:t>(MCIPS)</w:t>
      </w:r>
    </w:p>
    <w:p w14:paraId="52EE23A9" w14:textId="77777777" w:rsidR="006D70EF" w:rsidRPr="002E328C" w:rsidRDefault="00F17ED3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122"/>
        <w:ind w:hanging="361"/>
        <w:rPr>
          <w:rFonts w:asciiTheme="minorHAnsi" w:hAnsiTheme="minorHAnsi" w:cstheme="minorHAnsi"/>
          <w:sz w:val="24"/>
          <w:szCs w:val="24"/>
        </w:rPr>
      </w:pPr>
      <w:r w:rsidRPr="002E328C">
        <w:rPr>
          <w:rFonts w:asciiTheme="minorHAnsi" w:hAnsiTheme="minorHAnsi" w:cstheme="minorHAnsi"/>
          <w:sz w:val="24"/>
          <w:szCs w:val="24"/>
        </w:rPr>
        <w:t>Extensive specialist/technical knowledge &amp; understanding of</w:t>
      </w:r>
      <w:r w:rsidRPr="002E32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28C">
        <w:rPr>
          <w:rFonts w:asciiTheme="minorHAnsi" w:hAnsiTheme="minorHAnsi" w:cstheme="minorHAnsi"/>
          <w:sz w:val="24"/>
          <w:szCs w:val="24"/>
        </w:rPr>
        <w:t>Procurement</w:t>
      </w:r>
    </w:p>
    <w:p w14:paraId="14DAFBEA" w14:textId="77777777" w:rsidR="006D70EF" w:rsidRPr="002E328C" w:rsidRDefault="006D70EF">
      <w:pPr>
        <w:pStyle w:val="BodyText"/>
        <w:spacing w:before="11"/>
        <w:rPr>
          <w:rFonts w:asciiTheme="minorHAnsi" w:hAnsiTheme="minorHAnsi" w:cstheme="minorHAnsi"/>
          <w:sz w:val="29"/>
        </w:rPr>
      </w:pPr>
    </w:p>
    <w:p w14:paraId="2FFEFA9A" w14:textId="77777777" w:rsidR="006D70EF" w:rsidRPr="002E328C" w:rsidRDefault="00F17ED3">
      <w:pPr>
        <w:pStyle w:val="Heading1"/>
        <w:rPr>
          <w:rFonts w:asciiTheme="minorHAnsi" w:hAnsiTheme="minorHAnsi" w:cstheme="minorHAnsi"/>
        </w:rPr>
      </w:pPr>
      <w:r w:rsidRPr="002E328C">
        <w:rPr>
          <w:rFonts w:asciiTheme="minorHAnsi" w:hAnsiTheme="minorHAnsi" w:cstheme="minorHAnsi"/>
        </w:rPr>
        <w:t>Knowledge and Skills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  <w:gridCol w:w="6406"/>
      </w:tblGrid>
      <w:tr w:rsidR="006D70EF" w:rsidRPr="002E328C" w14:paraId="2CE6A049" w14:textId="77777777">
        <w:trPr>
          <w:trHeight w:val="314"/>
        </w:trPr>
        <w:tc>
          <w:tcPr>
            <w:tcW w:w="3339" w:type="dxa"/>
            <w:tcBorders>
              <w:bottom w:val="nil"/>
              <w:right w:val="nil"/>
            </w:tcBorders>
            <w:shd w:val="clear" w:color="auto" w:fill="C0C0C0"/>
          </w:tcPr>
          <w:p w14:paraId="63E0C16E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Area</w:t>
            </w:r>
          </w:p>
        </w:tc>
        <w:tc>
          <w:tcPr>
            <w:tcW w:w="6406" w:type="dxa"/>
            <w:tcBorders>
              <w:left w:val="nil"/>
              <w:bottom w:val="nil"/>
            </w:tcBorders>
            <w:shd w:val="clear" w:color="auto" w:fill="C0C0C0"/>
          </w:tcPr>
          <w:p w14:paraId="406990D9" w14:textId="77777777" w:rsidR="006D70EF" w:rsidRPr="002E328C" w:rsidRDefault="006D70E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D70EF" w:rsidRPr="002E328C" w14:paraId="7DACDE06" w14:textId="77777777">
        <w:trPr>
          <w:trHeight w:val="270"/>
        </w:trPr>
        <w:tc>
          <w:tcPr>
            <w:tcW w:w="3339" w:type="dxa"/>
            <w:tcBorders>
              <w:top w:val="nil"/>
              <w:right w:val="nil"/>
            </w:tcBorders>
            <w:shd w:val="clear" w:color="auto" w:fill="C0C0C0"/>
          </w:tcPr>
          <w:p w14:paraId="269FE6FD" w14:textId="77777777" w:rsidR="006D70EF" w:rsidRPr="002E328C" w:rsidRDefault="006D70E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06" w:type="dxa"/>
            <w:tcBorders>
              <w:top w:val="nil"/>
              <w:left w:val="nil"/>
            </w:tcBorders>
            <w:shd w:val="clear" w:color="auto" w:fill="C0C0C0"/>
          </w:tcPr>
          <w:p w14:paraId="5F6D42E9" w14:textId="77777777" w:rsidR="006D70EF" w:rsidRPr="002E328C" w:rsidRDefault="00F17ED3">
            <w:pPr>
              <w:pStyle w:val="TableParagraph"/>
              <w:spacing w:line="251" w:lineRule="exact"/>
              <w:ind w:left="112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(Description)</w:t>
            </w:r>
          </w:p>
        </w:tc>
      </w:tr>
      <w:tr w:rsidR="006D70EF" w:rsidRPr="002E328C" w14:paraId="3D4B2E1E" w14:textId="77777777">
        <w:trPr>
          <w:trHeight w:val="1173"/>
        </w:trPr>
        <w:tc>
          <w:tcPr>
            <w:tcW w:w="3339" w:type="dxa"/>
          </w:tcPr>
          <w:p w14:paraId="6BCE9645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Commercial Acumen</w:t>
            </w:r>
          </w:p>
        </w:tc>
        <w:tc>
          <w:tcPr>
            <w:tcW w:w="6406" w:type="dxa"/>
          </w:tcPr>
          <w:p w14:paraId="6F67CC46" w14:textId="77777777" w:rsidR="006D70EF" w:rsidRPr="002E328C" w:rsidRDefault="00F17ED3">
            <w:pPr>
              <w:pStyle w:val="TableParagraph"/>
              <w:ind w:right="152"/>
              <w:jc w:val="bot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 xml:space="preserve">Sound understanding of economic factors which will impact on market sectors and approaches to </w:t>
            </w:r>
            <w:proofErr w:type="spellStart"/>
            <w:r w:rsidRPr="002E328C">
              <w:rPr>
                <w:rFonts w:asciiTheme="minorHAnsi" w:hAnsiTheme="minorHAnsi" w:cstheme="minorHAnsi"/>
                <w:sz w:val="24"/>
              </w:rPr>
              <w:t>minimise</w:t>
            </w:r>
            <w:proofErr w:type="spellEnd"/>
            <w:r w:rsidRPr="002E328C">
              <w:rPr>
                <w:rFonts w:asciiTheme="minorHAnsi" w:hAnsiTheme="minorHAnsi" w:cstheme="minorHAnsi"/>
                <w:sz w:val="24"/>
              </w:rPr>
              <w:t xml:space="preserve"> cost pressures</w:t>
            </w:r>
            <w:r w:rsidRPr="002E328C">
              <w:rPr>
                <w:rFonts w:asciiTheme="minorHAnsi" w:hAnsiTheme="minorHAnsi" w:cstheme="minorHAnsi"/>
                <w:spacing w:val="-29"/>
                <w:sz w:val="24"/>
              </w:rPr>
              <w:t xml:space="preserve"> </w:t>
            </w:r>
            <w:r w:rsidRPr="002E328C">
              <w:rPr>
                <w:rFonts w:asciiTheme="minorHAnsi" w:hAnsiTheme="minorHAnsi" w:cstheme="minorHAnsi"/>
                <w:sz w:val="24"/>
              </w:rPr>
              <w:t>and reduce commercial risk. Good understanding of</w:t>
            </w:r>
            <w:r w:rsidRPr="002E328C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2E328C">
              <w:rPr>
                <w:rFonts w:asciiTheme="minorHAnsi" w:hAnsiTheme="minorHAnsi" w:cstheme="minorHAnsi"/>
                <w:sz w:val="24"/>
              </w:rPr>
              <w:t>commercial</w:t>
            </w:r>
          </w:p>
          <w:p w14:paraId="7C149954" w14:textId="77777777" w:rsidR="006D70EF" w:rsidRPr="002E328C" w:rsidRDefault="00F17ED3">
            <w:pPr>
              <w:pStyle w:val="TableParagraph"/>
              <w:spacing w:line="276" w:lineRule="exact"/>
              <w:jc w:val="bot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approaches taken by providers relating to costing and selling.</w:t>
            </w:r>
          </w:p>
        </w:tc>
      </w:tr>
      <w:tr w:rsidR="006D70EF" w:rsidRPr="002E328C" w14:paraId="53B14400" w14:textId="77777777">
        <w:trPr>
          <w:trHeight w:val="1170"/>
        </w:trPr>
        <w:tc>
          <w:tcPr>
            <w:tcW w:w="3339" w:type="dxa"/>
          </w:tcPr>
          <w:p w14:paraId="0834FF75" w14:textId="77777777" w:rsidR="006D70EF" w:rsidRPr="002E328C" w:rsidRDefault="00F17ED3">
            <w:pPr>
              <w:pStyle w:val="TableParagraph"/>
              <w:ind w:right="961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Category Management techniques</w:t>
            </w:r>
          </w:p>
        </w:tc>
        <w:tc>
          <w:tcPr>
            <w:tcW w:w="6406" w:type="dxa"/>
          </w:tcPr>
          <w:p w14:paraId="7438D4B6" w14:textId="77777777" w:rsidR="006D70EF" w:rsidRPr="002E328C" w:rsidRDefault="00F17ED3">
            <w:pPr>
              <w:pStyle w:val="TableParagraph"/>
              <w:ind w:right="550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 xml:space="preserve">Knowledge, understanding and successful experience of leading the procurement approach for </w:t>
            </w:r>
            <w:r w:rsidR="00165942" w:rsidRPr="002E328C">
              <w:rPr>
                <w:rFonts w:asciiTheme="minorHAnsi" w:hAnsiTheme="minorHAnsi" w:cstheme="minorHAnsi"/>
                <w:sz w:val="24"/>
              </w:rPr>
              <w:t>this category area</w:t>
            </w:r>
            <w:r w:rsidRPr="002E328C">
              <w:rPr>
                <w:rFonts w:asciiTheme="minorHAnsi" w:hAnsiTheme="minorHAnsi" w:cstheme="minorHAnsi"/>
                <w:sz w:val="24"/>
              </w:rPr>
              <w:t xml:space="preserve"> ideally via a procurement category management</w:t>
            </w:r>
          </w:p>
          <w:p w14:paraId="43454693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approach in a complex organisation.</w:t>
            </w:r>
          </w:p>
        </w:tc>
      </w:tr>
      <w:tr w:rsidR="006D70EF" w:rsidRPr="002E328C" w14:paraId="3F79C0F7" w14:textId="77777777">
        <w:trPr>
          <w:trHeight w:val="585"/>
        </w:trPr>
        <w:tc>
          <w:tcPr>
            <w:tcW w:w="3339" w:type="dxa"/>
          </w:tcPr>
          <w:p w14:paraId="528AA298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Procurement Legislation</w:t>
            </w:r>
          </w:p>
        </w:tc>
        <w:tc>
          <w:tcPr>
            <w:tcW w:w="6406" w:type="dxa"/>
          </w:tcPr>
          <w:p w14:paraId="2B8C7EF5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Extensive knowledge and understanding of the European</w:t>
            </w:r>
          </w:p>
          <w:p w14:paraId="47EF3965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Union Public Contracts Regulations 2015 and Contract Law.</w:t>
            </w:r>
          </w:p>
        </w:tc>
      </w:tr>
      <w:tr w:rsidR="006D70EF" w:rsidRPr="002E328C" w14:paraId="738944BD" w14:textId="77777777">
        <w:trPr>
          <w:trHeight w:val="1173"/>
        </w:trPr>
        <w:tc>
          <w:tcPr>
            <w:tcW w:w="3339" w:type="dxa"/>
          </w:tcPr>
          <w:p w14:paraId="3CECA570" w14:textId="77777777" w:rsidR="006D70EF" w:rsidRPr="002E328C" w:rsidRDefault="00F17ED3">
            <w:pPr>
              <w:pStyle w:val="TableParagraph"/>
              <w:spacing w:line="242" w:lineRule="auto"/>
              <w:ind w:right="1136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Supplier Relationship Management</w:t>
            </w:r>
          </w:p>
        </w:tc>
        <w:tc>
          <w:tcPr>
            <w:tcW w:w="6406" w:type="dxa"/>
          </w:tcPr>
          <w:p w14:paraId="5D938E21" w14:textId="77777777" w:rsidR="006D70EF" w:rsidRPr="002E328C" w:rsidRDefault="00F17ED3">
            <w:pPr>
              <w:pStyle w:val="TableParagraph"/>
              <w:ind w:right="297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2E328C">
              <w:rPr>
                <w:rFonts w:asciiTheme="minorHAnsi" w:hAnsiTheme="minorHAnsi" w:cstheme="minorHAnsi"/>
                <w:sz w:val="24"/>
              </w:rPr>
              <w:t>Sound</w:t>
            </w:r>
            <w:proofErr w:type="gramEnd"/>
            <w:r w:rsidRPr="002E328C">
              <w:rPr>
                <w:rFonts w:asciiTheme="minorHAnsi" w:hAnsiTheme="minorHAnsi" w:cstheme="minorHAnsi"/>
                <w:sz w:val="24"/>
              </w:rPr>
              <w:t xml:space="preserve"> understanding an experience of managing suppliers including supplier development, drivers of costs in the supply chain, understanding of </w:t>
            </w:r>
            <w:proofErr w:type="gramStart"/>
            <w:r w:rsidRPr="002E328C">
              <w:rPr>
                <w:rFonts w:asciiTheme="minorHAnsi" w:hAnsiTheme="minorHAnsi" w:cstheme="minorHAnsi"/>
                <w:sz w:val="24"/>
              </w:rPr>
              <w:t>sub contract</w:t>
            </w:r>
            <w:proofErr w:type="gramEnd"/>
            <w:r w:rsidRPr="002E328C">
              <w:rPr>
                <w:rFonts w:asciiTheme="minorHAnsi" w:hAnsiTheme="minorHAnsi" w:cstheme="minorHAnsi"/>
                <w:sz w:val="24"/>
              </w:rPr>
              <w:t xml:space="preserve"> markets and supply</w:t>
            </w:r>
          </w:p>
          <w:p w14:paraId="00C07D08" w14:textId="77777777" w:rsidR="006D70EF" w:rsidRPr="002E328C" w:rsidRDefault="00F17ED3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relationship management</w:t>
            </w:r>
          </w:p>
        </w:tc>
      </w:tr>
      <w:tr w:rsidR="006D70EF" w:rsidRPr="002E328C" w14:paraId="28C5A858" w14:textId="77777777">
        <w:trPr>
          <w:trHeight w:val="1463"/>
        </w:trPr>
        <w:tc>
          <w:tcPr>
            <w:tcW w:w="3339" w:type="dxa"/>
          </w:tcPr>
          <w:p w14:paraId="741F06A3" w14:textId="77777777" w:rsidR="006D70EF" w:rsidRPr="002E328C" w:rsidRDefault="00F17ED3">
            <w:pPr>
              <w:pStyle w:val="TableParagraph"/>
              <w:ind w:right="645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Procurement Systems and Processes</w:t>
            </w:r>
          </w:p>
        </w:tc>
        <w:tc>
          <w:tcPr>
            <w:tcW w:w="6406" w:type="dxa"/>
          </w:tcPr>
          <w:p w14:paraId="654E89E2" w14:textId="77777777" w:rsidR="006D70EF" w:rsidRPr="002E328C" w:rsidRDefault="00F17ED3">
            <w:pPr>
              <w:pStyle w:val="TableParagraph"/>
              <w:ind w:right="121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Extensive understanding of procurement processes and how e- procurement tools such as e-tendering and e-spend systems can be deployed to reduce process costs including</w:t>
            </w:r>
          </w:p>
          <w:p w14:paraId="110C87E2" w14:textId="77777777" w:rsidR="006D70EF" w:rsidRPr="002E328C" w:rsidRDefault="00F17ED3">
            <w:pPr>
              <w:pStyle w:val="TableParagraph"/>
              <w:spacing w:line="290" w:lineRule="atLeast"/>
              <w:ind w:right="1459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performance management techniques relating to benchmarking</w:t>
            </w:r>
          </w:p>
        </w:tc>
      </w:tr>
      <w:tr w:rsidR="006D70EF" w:rsidRPr="002E328C" w14:paraId="38CCC476" w14:textId="77777777">
        <w:trPr>
          <w:trHeight w:val="1172"/>
        </w:trPr>
        <w:tc>
          <w:tcPr>
            <w:tcW w:w="3339" w:type="dxa"/>
          </w:tcPr>
          <w:p w14:paraId="41D7F722" w14:textId="77777777" w:rsidR="006D70EF" w:rsidRPr="002E328C" w:rsidRDefault="00F17ED3">
            <w:pPr>
              <w:pStyle w:val="TableParagraph"/>
              <w:spacing w:line="291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Leadership</w:t>
            </w:r>
          </w:p>
        </w:tc>
        <w:tc>
          <w:tcPr>
            <w:tcW w:w="6406" w:type="dxa"/>
          </w:tcPr>
          <w:p w14:paraId="1530B1EA" w14:textId="77777777" w:rsidR="006D70EF" w:rsidRPr="002E328C" w:rsidRDefault="00F17ED3">
            <w:pPr>
              <w:pStyle w:val="TableParagraph"/>
              <w:ind w:right="387"/>
              <w:jc w:val="bot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Ability to influence multi-functional teams in developing and delivering the most appropriate procurement strategies and solutions.</w:t>
            </w:r>
          </w:p>
          <w:p w14:paraId="08261A54" w14:textId="77777777" w:rsidR="006D70EF" w:rsidRPr="002E328C" w:rsidRDefault="00F17ED3">
            <w:pPr>
              <w:pStyle w:val="TableParagraph"/>
              <w:spacing w:line="273" w:lineRule="exact"/>
              <w:jc w:val="bot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Fosters a collaborative team approach to working.</w:t>
            </w:r>
          </w:p>
        </w:tc>
      </w:tr>
      <w:tr w:rsidR="006D70EF" w:rsidRPr="002E328C" w14:paraId="1ADC0BD7" w14:textId="77777777">
        <w:trPr>
          <w:trHeight w:val="878"/>
        </w:trPr>
        <w:tc>
          <w:tcPr>
            <w:tcW w:w="3339" w:type="dxa"/>
          </w:tcPr>
          <w:p w14:paraId="2299A255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Entrepreneurship</w:t>
            </w:r>
          </w:p>
        </w:tc>
        <w:tc>
          <w:tcPr>
            <w:tcW w:w="6406" w:type="dxa"/>
          </w:tcPr>
          <w:p w14:paraId="7AF56AF2" w14:textId="77777777" w:rsidR="006D70EF" w:rsidRPr="002E328C" w:rsidRDefault="00F17E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Ability to identify opportunities, identify and balance risks and benefits and take appropriate actions to deliver the most</w:t>
            </w:r>
          </w:p>
          <w:p w14:paraId="3414BE7A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beneficial outcomes within procurement projects.</w:t>
            </w:r>
          </w:p>
        </w:tc>
      </w:tr>
      <w:tr w:rsidR="006D70EF" w:rsidRPr="002E328C" w14:paraId="4A5B95B1" w14:textId="77777777">
        <w:trPr>
          <w:trHeight w:val="1466"/>
        </w:trPr>
        <w:tc>
          <w:tcPr>
            <w:tcW w:w="3339" w:type="dxa"/>
          </w:tcPr>
          <w:p w14:paraId="06BEEF75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Negotiation skills</w:t>
            </w:r>
          </w:p>
        </w:tc>
        <w:tc>
          <w:tcPr>
            <w:tcW w:w="6406" w:type="dxa"/>
          </w:tcPr>
          <w:p w14:paraId="65F4FF64" w14:textId="77777777" w:rsidR="006D70EF" w:rsidRPr="002E328C" w:rsidRDefault="00F17ED3">
            <w:pPr>
              <w:pStyle w:val="TableParagraph"/>
              <w:ind w:right="254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 xml:space="preserve">Negotiation skills or with ability to achieve the optimal commercial solutions whilst maintaining credibility and a </w:t>
            </w:r>
            <w:proofErr w:type="gramStart"/>
            <w:r w:rsidRPr="002E328C">
              <w:rPr>
                <w:rFonts w:asciiTheme="minorHAnsi" w:hAnsiTheme="minorHAnsi" w:cstheme="minorHAnsi"/>
                <w:sz w:val="24"/>
              </w:rPr>
              <w:t>long term</w:t>
            </w:r>
            <w:proofErr w:type="gramEnd"/>
            <w:r w:rsidRPr="002E328C">
              <w:rPr>
                <w:rFonts w:asciiTheme="minorHAnsi" w:hAnsiTheme="minorHAnsi" w:cstheme="minorHAnsi"/>
                <w:sz w:val="24"/>
              </w:rPr>
              <w:t xml:space="preserve"> supplier relationship. Understanding of legal requirements and risk management within procurement</w:t>
            </w:r>
          </w:p>
          <w:p w14:paraId="02F69FC2" w14:textId="77777777" w:rsidR="006D70EF" w:rsidRPr="002E328C" w:rsidRDefault="00F17ED3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projects.</w:t>
            </w:r>
          </w:p>
        </w:tc>
      </w:tr>
      <w:tr w:rsidR="006D70EF" w:rsidRPr="002E328C" w14:paraId="7EF46B1B" w14:textId="77777777">
        <w:trPr>
          <w:trHeight w:val="1463"/>
        </w:trPr>
        <w:tc>
          <w:tcPr>
            <w:tcW w:w="3339" w:type="dxa"/>
          </w:tcPr>
          <w:p w14:paraId="368A7455" w14:textId="77777777" w:rsidR="006D70EF" w:rsidRPr="002E328C" w:rsidRDefault="00F17ED3">
            <w:pPr>
              <w:pStyle w:val="TableParagraph"/>
              <w:ind w:right="120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lastRenderedPageBreak/>
              <w:t>Influencing and communication skills</w:t>
            </w:r>
          </w:p>
        </w:tc>
        <w:tc>
          <w:tcPr>
            <w:tcW w:w="6406" w:type="dxa"/>
          </w:tcPr>
          <w:p w14:paraId="789DA0DD" w14:textId="77777777" w:rsidR="006D70EF" w:rsidRPr="002E328C" w:rsidRDefault="00F17E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Ability to interpret a range of differing priorities and influence the outcome across a range of senior stakeholders</w:t>
            </w:r>
          </w:p>
          <w:p w14:paraId="52314322" w14:textId="77777777" w:rsidR="006D70EF" w:rsidRPr="002E328C" w:rsidRDefault="006D70E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14:paraId="46E94B23" w14:textId="77777777" w:rsidR="006D70EF" w:rsidRPr="002E328C" w:rsidRDefault="00F17ED3">
            <w:pPr>
              <w:pStyle w:val="TableParagraph"/>
              <w:spacing w:before="1" w:line="290" w:lineRule="atLeast"/>
              <w:ind w:right="1053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Explain complex problems and issues in a concise and understandable way to a wide range of stakeholders.</w:t>
            </w:r>
          </w:p>
        </w:tc>
      </w:tr>
      <w:tr w:rsidR="006D70EF" w:rsidRPr="002E328C" w14:paraId="4E0BFFE7" w14:textId="77777777" w:rsidTr="00A92343">
        <w:trPr>
          <w:trHeight w:val="878"/>
        </w:trPr>
        <w:tc>
          <w:tcPr>
            <w:tcW w:w="3339" w:type="dxa"/>
          </w:tcPr>
          <w:p w14:paraId="01BDF282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Problem solving</w:t>
            </w:r>
          </w:p>
        </w:tc>
        <w:tc>
          <w:tcPr>
            <w:tcW w:w="6406" w:type="dxa"/>
          </w:tcPr>
          <w:p w14:paraId="6F0D16E7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Ability to understand differing priorities that often conflict and</w:t>
            </w:r>
          </w:p>
          <w:p w14:paraId="6434862B" w14:textId="77777777" w:rsidR="006D70EF" w:rsidRPr="002E328C" w:rsidRDefault="00F17ED3">
            <w:pPr>
              <w:pStyle w:val="TableParagraph"/>
              <w:spacing w:line="290" w:lineRule="atLeast"/>
              <w:ind w:right="139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be able to devise solutions that achieve value for money whilst ensuring continuity of supply</w:t>
            </w:r>
          </w:p>
        </w:tc>
      </w:tr>
      <w:tr w:rsidR="006D70EF" w:rsidRPr="002E328C" w14:paraId="4038C904" w14:textId="77777777" w:rsidTr="00A92343">
        <w:trPr>
          <w:trHeight w:val="2344"/>
        </w:trPr>
        <w:tc>
          <w:tcPr>
            <w:tcW w:w="3339" w:type="dxa"/>
          </w:tcPr>
          <w:p w14:paraId="3D652A6B" w14:textId="77777777" w:rsidR="006D70EF" w:rsidRPr="002E328C" w:rsidRDefault="00F17ED3">
            <w:pPr>
              <w:pStyle w:val="TableParagraph"/>
              <w:spacing w:before="1"/>
              <w:ind w:right="767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Customer Relationship / Stakeholder Relationship</w:t>
            </w:r>
          </w:p>
        </w:tc>
        <w:tc>
          <w:tcPr>
            <w:tcW w:w="6406" w:type="dxa"/>
          </w:tcPr>
          <w:p w14:paraId="6D191B1E" w14:textId="77777777" w:rsidR="006D70EF" w:rsidRPr="002E328C" w:rsidRDefault="00F17ED3">
            <w:pPr>
              <w:pStyle w:val="TableParagraph"/>
              <w:spacing w:before="1"/>
              <w:ind w:right="124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Ability to develop and maintain excel</w:t>
            </w:r>
            <w:r w:rsidR="004E48D8" w:rsidRPr="002E328C">
              <w:rPr>
                <w:rFonts w:asciiTheme="minorHAnsi" w:hAnsiTheme="minorHAnsi" w:cstheme="minorHAnsi"/>
                <w:sz w:val="24"/>
              </w:rPr>
              <w:t xml:space="preserve">lent working relationships with </w:t>
            </w:r>
            <w:r w:rsidRPr="002E328C">
              <w:rPr>
                <w:rFonts w:asciiTheme="minorHAnsi" w:hAnsiTheme="minorHAnsi" w:cstheme="minorHAnsi"/>
                <w:sz w:val="24"/>
              </w:rPr>
              <w:t>customer</w:t>
            </w:r>
            <w:r w:rsidR="004E48D8" w:rsidRPr="002E328C">
              <w:rPr>
                <w:rFonts w:asciiTheme="minorHAnsi" w:hAnsiTheme="minorHAnsi" w:cstheme="minorHAnsi"/>
                <w:sz w:val="24"/>
              </w:rPr>
              <w:t xml:space="preserve">s within North Northamptonshire </w:t>
            </w:r>
            <w:r w:rsidRPr="002E328C">
              <w:rPr>
                <w:rFonts w:asciiTheme="minorHAnsi" w:hAnsiTheme="minorHAnsi" w:cstheme="minorHAnsi"/>
                <w:sz w:val="24"/>
              </w:rPr>
              <w:t>Council and possibly other external customers requiring our procurement services ensuring engagement at appropriate times and appropriate management levels.</w:t>
            </w:r>
          </w:p>
          <w:p w14:paraId="77323C57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 xml:space="preserve">Builds and maintains relationships with </w:t>
            </w:r>
            <w:proofErr w:type="gramStart"/>
            <w:r w:rsidRPr="002E328C">
              <w:rPr>
                <w:rFonts w:asciiTheme="minorHAnsi" w:hAnsiTheme="minorHAnsi" w:cstheme="minorHAnsi"/>
                <w:sz w:val="24"/>
              </w:rPr>
              <w:t>stakeholder</w:t>
            </w:r>
            <w:proofErr w:type="gramEnd"/>
            <w:r w:rsidRPr="002E328C">
              <w:rPr>
                <w:rFonts w:asciiTheme="minorHAnsi" w:hAnsiTheme="minorHAnsi" w:cstheme="minorHAnsi"/>
                <w:sz w:val="24"/>
              </w:rPr>
              <w:t xml:space="preserve">/ </w:t>
            </w:r>
            <w:proofErr w:type="gramStart"/>
            <w:r w:rsidRPr="002E328C">
              <w:rPr>
                <w:rFonts w:asciiTheme="minorHAnsi" w:hAnsiTheme="minorHAnsi" w:cstheme="minorHAnsi"/>
                <w:sz w:val="24"/>
              </w:rPr>
              <w:t>peer</w:t>
            </w:r>
            <w:proofErr w:type="gramEnd"/>
          </w:p>
          <w:p w14:paraId="5D41CBEA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2E328C">
              <w:rPr>
                <w:rFonts w:asciiTheme="minorHAnsi" w:hAnsiTheme="minorHAnsi" w:cstheme="minorHAnsi"/>
                <w:sz w:val="24"/>
              </w:rPr>
              <w:t>organisations</w:t>
            </w:r>
            <w:proofErr w:type="spellEnd"/>
            <w:r w:rsidRPr="002E328C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6D70EF" w:rsidRPr="002E328C" w14:paraId="1FEB415D" w14:textId="77777777" w:rsidTr="00A92343">
        <w:trPr>
          <w:trHeight w:val="878"/>
        </w:trPr>
        <w:tc>
          <w:tcPr>
            <w:tcW w:w="3339" w:type="dxa"/>
          </w:tcPr>
          <w:p w14:paraId="5D8485B4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Project Management</w:t>
            </w:r>
          </w:p>
        </w:tc>
        <w:tc>
          <w:tcPr>
            <w:tcW w:w="6406" w:type="dxa"/>
          </w:tcPr>
          <w:p w14:paraId="400A2FC5" w14:textId="77777777" w:rsidR="006D70EF" w:rsidRPr="002E328C" w:rsidRDefault="00F17ED3">
            <w:pPr>
              <w:pStyle w:val="TableParagraph"/>
              <w:ind w:right="721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Able to plan activities in a logical manor ensuring key deliverables and timelines are identified and appropriate</w:t>
            </w:r>
          </w:p>
          <w:p w14:paraId="61D76930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budgets are in place.</w:t>
            </w:r>
          </w:p>
        </w:tc>
      </w:tr>
      <w:tr w:rsidR="006D70EF" w:rsidRPr="002E328C" w14:paraId="41F91338" w14:textId="77777777" w:rsidTr="00A92343">
        <w:trPr>
          <w:trHeight w:val="1173"/>
        </w:trPr>
        <w:tc>
          <w:tcPr>
            <w:tcW w:w="3339" w:type="dxa"/>
          </w:tcPr>
          <w:p w14:paraId="1F3747FB" w14:textId="77777777" w:rsidR="006D70EF" w:rsidRPr="002E328C" w:rsidRDefault="00F17ED3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Analysis</w:t>
            </w:r>
          </w:p>
        </w:tc>
        <w:tc>
          <w:tcPr>
            <w:tcW w:w="6406" w:type="dxa"/>
          </w:tcPr>
          <w:p w14:paraId="26D12EB1" w14:textId="77777777" w:rsidR="006D70EF" w:rsidRPr="002E328C" w:rsidRDefault="00F17ED3">
            <w:pPr>
              <w:pStyle w:val="TableParagraph"/>
              <w:spacing w:before="1" w:line="290" w:lineRule="atLeast"/>
              <w:ind w:right="184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Excellent analytical skills. Including ability to identify key data and other influencing factors such as customer preferences and market developments and incorporate these into decision making process.</w:t>
            </w:r>
          </w:p>
        </w:tc>
      </w:tr>
      <w:tr w:rsidR="00A92343" w:rsidRPr="002E328C" w14:paraId="7AD7E23D" w14:textId="77777777" w:rsidTr="00A92343">
        <w:trPr>
          <w:trHeight w:val="877"/>
        </w:trPr>
        <w:tc>
          <w:tcPr>
            <w:tcW w:w="3339" w:type="dxa"/>
          </w:tcPr>
          <w:p w14:paraId="25EDC8E3" w14:textId="572447FF" w:rsidR="00A92343" w:rsidRPr="002E328C" w:rsidRDefault="00A9234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Policies </w:t>
            </w:r>
          </w:p>
        </w:tc>
        <w:tc>
          <w:tcPr>
            <w:tcW w:w="6406" w:type="dxa"/>
          </w:tcPr>
          <w:p w14:paraId="2E407BBE" w14:textId="269DEB28" w:rsidR="00A92343" w:rsidRPr="002E328C" w:rsidRDefault="00A92343" w:rsidP="00A9234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A92343">
              <w:rPr>
                <w:rFonts w:asciiTheme="minorHAnsi" w:hAnsiTheme="minorHAnsi" w:cstheme="minorHAnsi"/>
                <w:sz w:val="24"/>
                <w:lang w:val="en-GB"/>
              </w:rPr>
              <w:t>create and maintain procurement policies, ensure all documents reflect the latest legislative and regulatory updates, and develop clear, user</w:t>
            </w:r>
            <w:r w:rsidRPr="00A92343">
              <w:rPr>
                <w:rFonts w:asciiTheme="minorHAnsi" w:hAnsiTheme="minorHAnsi" w:cstheme="minorHAnsi"/>
                <w:sz w:val="24"/>
                <w:lang w:val="en-GB"/>
              </w:rPr>
              <w:noBreakHyphen/>
              <w:t>friendly templates that support consistent, compliant procurement practice across the organisation.</w:t>
            </w:r>
          </w:p>
        </w:tc>
      </w:tr>
      <w:tr w:rsidR="006D70EF" w:rsidRPr="002E328C" w14:paraId="68970EC5" w14:textId="77777777" w:rsidTr="00A92343">
        <w:trPr>
          <w:trHeight w:val="877"/>
        </w:trPr>
        <w:tc>
          <w:tcPr>
            <w:tcW w:w="3339" w:type="dxa"/>
          </w:tcPr>
          <w:p w14:paraId="0B6319CC" w14:textId="77777777" w:rsidR="006D70EF" w:rsidRPr="002E328C" w:rsidRDefault="00F17ED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Political Awareness</w:t>
            </w:r>
          </w:p>
        </w:tc>
        <w:tc>
          <w:tcPr>
            <w:tcW w:w="6406" w:type="dxa"/>
          </w:tcPr>
          <w:p w14:paraId="73E16167" w14:textId="77777777" w:rsidR="006D70EF" w:rsidRPr="002E328C" w:rsidRDefault="00F17E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Sound understanding and awareness of political issues and sensitivities, policies and developments and how they</w:t>
            </w:r>
          </w:p>
          <w:p w14:paraId="28629266" w14:textId="77777777" w:rsidR="006D70EF" w:rsidRPr="002E328C" w:rsidRDefault="00F17ED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2E328C">
              <w:rPr>
                <w:rFonts w:asciiTheme="minorHAnsi" w:hAnsiTheme="minorHAnsi" w:cstheme="minorHAnsi"/>
                <w:sz w:val="24"/>
              </w:rPr>
              <w:t>influence the requirements of the post.</w:t>
            </w:r>
          </w:p>
        </w:tc>
      </w:tr>
    </w:tbl>
    <w:p w14:paraId="061E92DB" w14:textId="77777777" w:rsidR="00F17ED3" w:rsidRPr="002E328C" w:rsidRDefault="00F17ED3">
      <w:pPr>
        <w:rPr>
          <w:rFonts w:asciiTheme="minorHAnsi" w:hAnsiTheme="minorHAnsi" w:cstheme="minorHAnsi"/>
        </w:rPr>
      </w:pPr>
    </w:p>
    <w:sectPr w:rsidR="00F17ED3" w:rsidRPr="002E328C">
      <w:headerReference w:type="default" r:id="rId7"/>
      <w:pgSz w:w="11910" w:h="16840"/>
      <w:pgMar w:top="1420" w:right="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2EAD" w14:textId="77777777" w:rsidR="002E328C" w:rsidRDefault="002E328C" w:rsidP="002E328C">
      <w:r>
        <w:separator/>
      </w:r>
    </w:p>
  </w:endnote>
  <w:endnote w:type="continuationSeparator" w:id="0">
    <w:p w14:paraId="329E483D" w14:textId="77777777" w:rsidR="002E328C" w:rsidRDefault="002E328C" w:rsidP="002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BC25" w14:textId="77777777" w:rsidR="002E328C" w:rsidRDefault="002E328C" w:rsidP="002E328C">
      <w:r>
        <w:separator/>
      </w:r>
    </w:p>
  </w:footnote>
  <w:footnote w:type="continuationSeparator" w:id="0">
    <w:p w14:paraId="06BC8E6B" w14:textId="77777777" w:rsidR="002E328C" w:rsidRDefault="002E328C" w:rsidP="002E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404F" w14:textId="73465CA5" w:rsidR="002E328C" w:rsidRDefault="002E328C">
    <w:pPr>
      <w:pStyle w:val="Header"/>
    </w:pPr>
    <w:r>
      <w:rPr>
        <w:noProof/>
      </w:rPr>
      <w:drawing>
        <wp:inline distT="0" distB="0" distL="0" distR="0" wp14:anchorId="6D5D2BD6" wp14:editId="2A67A15C">
          <wp:extent cx="48006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06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D629F"/>
    <w:multiLevelType w:val="hybridMultilevel"/>
    <w:tmpl w:val="6540B19A"/>
    <w:lvl w:ilvl="0" w:tplc="EFBA58F4">
      <w:numFmt w:val="bullet"/>
      <w:lvlText w:val=""/>
      <w:lvlJc w:val="left"/>
      <w:pPr>
        <w:ind w:left="472" w:hanging="360"/>
      </w:pPr>
      <w:rPr>
        <w:rFonts w:hint="default"/>
        <w:w w:val="100"/>
        <w:lang w:val="en-US" w:eastAsia="en-US" w:bidi="ar-SA"/>
      </w:rPr>
    </w:lvl>
    <w:lvl w:ilvl="1" w:tplc="FD3203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4EB2966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5D10A34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5426906E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4CDC18D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5EC4F72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7" w:tplc="52B665CE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404F9F8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num w:numId="1" w16cid:durableId="23193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F"/>
    <w:rsid w:val="00165942"/>
    <w:rsid w:val="002E328C"/>
    <w:rsid w:val="003923A7"/>
    <w:rsid w:val="004E48D8"/>
    <w:rsid w:val="0057158B"/>
    <w:rsid w:val="0066568C"/>
    <w:rsid w:val="006A48DD"/>
    <w:rsid w:val="006D70EF"/>
    <w:rsid w:val="008751D5"/>
    <w:rsid w:val="009C7FD2"/>
    <w:rsid w:val="00A92343"/>
    <w:rsid w:val="00CB074F"/>
    <w:rsid w:val="00F1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1290"/>
  <w15:docId w15:val="{68AC4429-5CE2-4C80-AB42-963E1F1D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E3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28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E3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28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3236</Characters>
  <Application>Microsoft Office Word</Application>
  <DocSecurity>0</DocSecurity>
  <Lines>98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County Council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PWHITE</dc:creator>
  <cp:lastModifiedBy>Jeandre Hunter</cp:lastModifiedBy>
  <cp:revision>2</cp:revision>
  <dcterms:created xsi:type="dcterms:W3CDTF">2026-01-28T17:09:00Z</dcterms:created>
  <dcterms:modified xsi:type="dcterms:W3CDTF">2026-01-28T17:09:00Z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2021-08-09T00:00:00Z</vt:filetime>
  </property>
  <property fmtid="{D5CDD505-2E9C-101B-9397-08002B2CF9AE}" pid="5" name="MSIP_Label_de6ec094-42b0-4a3f-84e1-779791d08481_Enabled">
    <vt:lpwstr>true</vt:lpwstr>
  </property>
  <property fmtid="{D5CDD505-2E9C-101B-9397-08002B2CF9AE}" pid="6" name="MSIP_Label_de6ec094-42b0-4a3f-84e1-779791d08481_SetDate">
    <vt:lpwstr>2026-01-28T17:09:20Z</vt:lpwstr>
  </property>
  <property fmtid="{D5CDD505-2E9C-101B-9397-08002B2CF9AE}" pid="7" name="MSIP_Label_de6ec094-42b0-4a3f-84e1-779791d08481_Method">
    <vt:lpwstr>Standard</vt:lpwstr>
  </property>
  <property fmtid="{D5CDD505-2E9C-101B-9397-08002B2CF9AE}" pid="8" name="MSIP_Label_de6ec094-42b0-4a3f-84e1-779791d08481_Name">
    <vt:lpwstr>OFFICAL - Public</vt:lpwstr>
  </property>
  <property fmtid="{D5CDD505-2E9C-101B-9397-08002B2CF9AE}" pid="9" name="MSIP_Label_de6ec094-42b0-4a3f-84e1-779791d08481_SiteId">
    <vt:lpwstr>e29c0ef9-9a07-4b02-b98b-7b2d8a78d737</vt:lpwstr>
  </property>
  <property fmtid="{D5CDD505-2E9C-101B-9397-08002B2CF9AE}" pid="10" name="MSIP_Label_de6ec094-42b0-4a3f-84e1-779791d08481_ActionId">
    <vt:lpwstr>c57be759-df5a-489c-b36c-2512f5da5deb</vt:lpwstr>
  </property>
  <property fmtid="{D5CDD505-2E9C-101B-9397-08002B2CF9AE}" pid="11" name="MSIP_Label_de6ec094-42b0-4a3f-84e1-779791d08481_ContentBits">
    <vt:lpwstr>0</vt:lpwstr>
  </property>
  <property fmtid="{D5CDD505-2E9C-101B-9397-08002B2CF9AE}" pid="12" name="MSIP_Label_de6ec094-42b0-4a3f-84e1-779791d08481_Tag">
    <vt:lpwstr>10, 3, 0, 1</vt:lpwstr>
  </property>
</Properties>
</file>